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Arial" w:hAnsi="Arial" w:eastAsia="Times New Roman" w:cs="Arial"/>
          <w:color w:val="000000"/>
          <w:sz w:val="28"/>
          <w:szCs w:val="28"/>
        </w:rPr>
      </w:pPr>
      <w:r>
        <w:rPr/>
      </w:r>
      <w:bookmarkStart w:id="0" w:name="_MON_1833690957"/>
      <w:bookmarkStart w:id="1" w:name="_MON_1833690957"/>
      <w:bookmarkEnd w:id="1"/>
    </w:p>
    <w:tbl>
      <w:tblPr>
        <w:tblStyle w:val="Grigliatabella"/>
        <w:tblW w:w="921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07"/>
        <w:gridCol w:w="4606"/>
      </w:tblGrid>
      <w:tr>
        <w:trPr/>
        <w:tc>
          <w:tcPr>
            <w:tcW w:w="4607" w:type="dxa"/>
            <w:tcBorders>
              <w:top w:val="nil"/>
              <w:left w:val="nil"/>
              <w:bottom w:val="nil"/>
              <w:right w:val="nil"/>
            </w:tcBorders>
          </w:tcPr>
          <w:p>
            <w:pPr>
              <w:pStyle w:val="Normal"/>
              <w:widowControl/>
              <w:spacing w:lineRule="auto" w:line="240" w:before="0" w:after="0"/>
              <w:jc w:val="center"/>
              <w:rPr>
                <w:rFonts w:ascii="Corsiva" w:hAnsi="Corsiva" w:eastAsia="Corsiva" w:cs="Corsiva"/>
                <w:sz w:val="32"/>
                <w:szCs w:val="32"/>
                <w:lang w:eastAsia="it-IT"/>
              </w:rPr>
            </w:pPr>
            <w:bookmarkStart w:id="2" w:name="_MON_1833690957"/>
            <w:bookmarkEnd w:id="2"/>
            <w:r>
              <w:rPr>
                <w:kern w:val="0"/>
                <w:sz w:val="22"/>
                <w:szCs w:val="22"/>
                <w:lang w:val="it-IT" w:eastAsia="en-US" w:bidi="ar-SA"/>
              </w:rPr>
              <w:object>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38.8pt;height:43.85pt;mso-wrap-distance-right:0pt" filled="f" o:ole="">
                  <v:imagedata r:id="rId3" o:title=""/>
                </v:shape>
                <o:OLEObject Type="Embed" ProgID="Word.Picture.8" ShapeID="ole_rId2" DrawAspect="Content" ObjectID="_898042841" r:id="rId2"/>
              </w:object>
            </w:r>
          </w:p>
          <w:p>
            <w:pPr>
              <w:pStyle w:val="Normal"/>
              <w:widowControl/>
              <w:spacing w:lineRule="auto" w:line="240" w:before="0" w:after="0"/>
              <w:jc w:val="center"/>
              <w:rPr>
                <w:rFonts w:ascii="Arial" w:hAnsi="Arial" w:eastAsia="Calibri" w:cs="Arial"/>
                <w:b/>
                <w:b/>
                <w:sz w:val="16"/>
                <w:szCs w:val="16"/>
                <w:lang w:eastAsia="it-IT"/>
              </w:rPr>
            </w:pPr>
            <w:r>
              <w:rPr>
                <w:rFonts w:eastAsia="Calibri" w:cs="Arial" w:ascii="Arial" w:hAnsi="Arial"/>
                <w:b/>
                <w:kern w:val="0"/>
                <w:sz w:val="16"/>
                <w:szCs w:val="16"/>
                <w:lang w:val="it-IT" w:eastAsia="it-IT" w:bidi="ar-SA"/>
              </w:rPr>
              <w:t>Commissario Straordinario per la</w:t>
            </w:r>
          </w:p>
          <w:p>
            <w:pPr>
              <w:pStyle w:val="Normal"/>
              <w:widowControl/>
              <w:spacing w:lineRule="auto" w:line="240" w:before="0" w:after="0"/>
              <w:jc w:val="center"/>
              <w:rPr>
                <w:rFonts w:ascii="Arial" w:hAnsi="Arial" w:eastAsia="Calibri" w:cs="Arial"/>
                <w:b/>
                <w:b/>
                <w:sz w:val="16"/>
                <w:szCs w:val="16"/>
                <w:lang w:eastAsia="it-IT"/>
              </w:rPr>
            </w:pPr>
            <w:r>
              <w:rPr>
                <w:rFonts w:eastAsia="Calibri" w:cs="Arial" w:ascii="Arial" w:hAnsi="Arial"/>
                <w:b/>
                <w:kern w:val="0"/>
                <w:sz w:val="16"/>
                <w:szCs w:val="16"/>
                <w:lang w:val="it-IT" w:eastAsia="it-IT" w:bidi="ar-SA"/>
              </w:rPr>
              <w:t>bonifica ambientale e rigenerazione</w:t>
            </w:r>
          </w:p>
          <w:p>
            <w:pPr>
              <w:pStyle w:val="Normal"/>
              <w:widowControl/>
              <w:spacing w:lineRule="auto" w:line="240" w:before="0" w:after="0"/>
              <w:jc w:val="center"/>
              <w:rPr>
                <w:rFonts w:ascii="Arial" w:hAnsi="Arial" w:eastAsia="Calibri" w:cs="Arial"/>
                <w:b/>
                <w:b/>
                <w:sz w:val="16"/>
                <w:szCs w:val="16"/>
                <w:lang w:eastAsia="it-IT"/>
              </w:rPr>
            </w:pPr>
            <w:r>
              <w:rPr>
                <w:rFonts w:eastAsia="Calibri" w:cs="Arial" w:ascii="Arial" w:hAnsi="Arial"/>
                <w:b/>
                <w:kern w:val="0"/>
                <w:sz w:val="16"/>
                <w:szCs w:val="16"/>
                <w:lang w:val="it-IT" w:eastAsia="it-IT" w:bidi="ar-SA"/>
              </w:rPr>
              <w:t>urbana dell’Area di Rilevante Interesse</w:t>
            </w:r>
          </w:p>
          <w:p>
            <w:pPr>
              <w:pStyle w:val="Normal"/>
              <w:widowControl/>
              <w:spacing w:lineRule="auto" w:line="240" w:before="0" w:after="0"/>
              <w:jc w:val="center"/>
              <w:rPr>
                <w:rFonts w:ascii="Arial" w:hAnsi="Arial" w:eastAsia="Calibri" w:cs="Arial"/>
                <w:b/>
                <w:b/>
                <w:sz w:val="16"/>
                <w:szCs w:val="16"/>
                <w:lang w:eastAsia="it-IT"/>
              </w:rPr>
            </w:pPr>
            <w:r>
              <w:rPr>
                <w:rFonts w:eastAsia="Calibri" w:cs="Arial" w:ascii="Arial" w:hAnsi="Arial"/>
                <w:b/>
                <w:kern w:val="0"/>
                <w:sz w:val="16"/>
                <w:szCs w:val="16"/>
                <w:lang w:val="it-IT" w:eastAsia="it-IT" w:bidi="ar-SA"/>
              </w:rPr>
              <w:t>Nazionale Bagnoli-Coroglio</w:t>
            </w:r>
          </w:p>
          <w:p>
            <w:pPr>
              <w:pStyle w:val="Intestazione"/>
              <w:widowControl/>
              <w:spacing w:before="0" w:after="0"/>
              <w:jc w:val="left"/>
              <w:rPr>
                <w:rFonts w:ascii="Aptos" w:hAnsi="Aptos" w:eastAsia="Aptos" w:cs=""/>
                <w:lang w:val="it-IT" w:eastAsia="en-US" w:bidi="ar-SA"/>
              </w:rPr>
            </w:pPr>
            <w:r>
              <w:rPr>
                <w:rFonts w:eastAsia="Aptos" w:cs=""/>
                <w:lang w:val="it-IT" w:eastAsia="en-US" w:bidi="ar-SA"/>
              </w:rPr>
            </w:r>
          </w:p>
        </w:tc>
        <w:tc>
          <w:tcPr>
            <w:tcW w:w="4606" w:type="dxa"/>
            <w:tcBorders>
              <w:top w:val="nil"/>
              <w:left w:val="nil"/>
              <w:bottom w:val="nil"/>
              <w:right w:val="nil"/>
            </w:tcBorders>
          </w:tcPr>
          <w:p>
            <w:pPr>
              <w:pStyle w:val="Intestazione"/>
              <w:widowControl/>
              <w:tabs>
                <w:tab w:val="left" w:pos="1060" w:leader="none"/>
                <w:tab w:val="center" w:pos="2195" w:leader="none"/>
                <w:tab w:val="center" w:pos="4819" w:leader="none"/>
                <w:tab w:val="right" w:pos="9638" w:leader="none"/>
              </w:tabs>
              <w:spacing w:before="0" w:after="0"/>
              <w:jc w:val="left"/>
              <w:rPr>
                <w:rFonts w:ascii="Aptos" w:hAnsi="Aptos" w:eastAsia="Aptos" w:cs=""/>
                <w:lang w:val="it-IT" w:eastAsia="en-US" w:bidi="ar-SA"/>
              </w:rPr>
            </w:pPr>
            <w:r>
              <w:rPr>
                <w:rFonts w:eastAsia="Aptos" w:cs=""/>
                <w:lang w:val="it-IT" w:eastAsia="en-US" w:bidi="ar-SA"/>
              </w:rPr>
              <w:tab/>
              <w:tab/>
            </w:r>
            <w:r>
              <w:rPr>
                <w:rFonts w:eastAsia="Aptos" w:cs=""/>
                <w:lang w:val="it-IT" w:eastAsia="en-US" w:bidi="ar-SA"/>
              </w:rPr>
              <w:drawing>
                <wp:inline distT="0" distB="0" distL="0" distR="0">
                  <wp:extent cx="1165225" cy="1080135"/>
                  <wp:effectExtent l="0" t="0" r="0" b="0"/>
                  <wp:docPr id="1" name="Immagine 729286729" descr="Immagine che contiene schermata, Elementi grafici, grafic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729286729" descr="Immagine che contiene schermata, Elementi grafici, grafica, design&#10;&#10;Il contenuto generato dall'IA potrebbe non essere corretto."/>
                          <pic:cNvPicPr>
                            <a:picLocks noChangeAspect="1" noChangeArrowheads="1"/>
                          </pic:cNvPicPr>
                        </pic:nvPicPr>
                        <pic:blipFill>
                          <a:blip r:embed="rId4"/>
                          <a:srcRect l="0" t="6728" r="0" b="0"/>
                          <a:stretch>
                            <a:fillRect/>
                          </a:stretch>
                        </pic:blipFill>
                        <pic:spPr bwMode="auto">
                          <a:xfrm>
                            <a:off x="0" y="0"/>
                            <a:ext cx="1165225" cy="1080135"/>
                          </a:xfrm>
                          <a:prstGeom prst="rect">
                            <a:avLst/>
                          </a:prstGeom>
                        </pic:spPr>
                      </pic:pic>
                    </a:graphicData>
                  </a:graphic>
                </wp:inline>
              </w:drawing>
            </w:r>
          </w:p>
        </w:tc>
      </w:tr>
    </w:tbl>
    <w:p>
      <w:pPr>
        <w:pStyle w:val="Normal"/>
        <w:spacing w:before="0" w:after="0"/>
        <w:jc w:val="center"/>
        <w:rPr>
          <w:rFonts w:ascii="Arial" w:hAnsi="Arial" w:eastAsia="Times New Roman" w:cs="Arial"/>
          <w:color w:val="000000"/>
        </w:rPr>
      </w:pPr>
      <w:r>
        <w:rPr>
          <w:rFonts w:eastAsia="Times New Roman" w:cs="Arial" w:ascii="Arial" w:hAnsi="Arial"/>
          <w:color w:val="000000"/>
        </w:rPr>
      </w:r>
    </w:p>
    <w:p>
      <w:pPr>
        <w:pStyle w:val="Normal"/>
        <w:spacing w:before="0" w:after="0"/>
        <w:jc w:val="center"/>
        <w:rPr>
          <w:rFonts w:ascii="Arial" w:hAnsi="Arial" w:eastAsia="Times New Roman" w:cs="Arial"/>
          <w:color w:val="000000"/>
        </w:rPr>
      </w:pPr>
      <w:r>
        <w:rPr>
          <w:rFonts w:eastAsia="Times New Roman" w:cs="Arial" w:ascii="Arial" w:hAnsi="Arial"/>
          <w:color w:val="000000"/>
        </w:rPr>
      </w:r>
    </w:p>
    <w:p>
      <w:pPr>
        <w:pStyle w:val="Normal"/>
        <w:spacing w:lineRule="auto" w:line="240" w:before="0" w:after="0"/>
        <w:jc w:val="center"/>
        <w:rPr>
          <w:rFonts w:ascii="Arial" w:hAnsi="Arial" w:eastAsia="Times New Roman" w:cs="Arial"/>
          <w:b/>
          <w:b/>
          <w:bCs/>
          <w:lang w:eastAsia="it-IT"/>
        </w:rPr>
      </w:pPr>
      <w:r>
        <w:rPr>
          <w:rFonts w:eastAsia="Times New Roman" w:cs="Arial" w:ascii="Arial" w:hAnsi="Arial"/>
          <w:b/>
          <w:bCs/>
          <w:lang w:eastAsia="it-IT"/>
        </w:rPr>
      </w:r>
    </w:p>
    <w:p>
      <w:pPr>
        <w:pStyle w:val="Normal"/>
        <w:spacing w:lineRule="auto" w:line="240" w:before="0" w:after="0"/>
        <w:jc w:val="center"/>
        <w:rPr>
          <w:rFonts w:ascii="Arial" w:hAnsi="Arial" w:eastAsia="Times New Roman" w:cs="Arial"/>
          <w:b/>
          <w:b/>
          <w:bCs/>
          <w:lang w:eastAsia="it-IT"/>
        </w:rPr>
      </w:pPr>
      <w:r>
        <w:rPr>
          <w:rFonts w:eastAsia="Times New Roman" w:cs="Arial" w:ascii="Arial" w:hAnsi="Arial"/>
          <w:b/>
          <w:bCs/>
          <w:lang w:eastAsia="it-IT"/>
        </w:rPr>
      </w:r>
    </w:p>
    <w:p>
      <w:pPr>
        <w:pStyle w:val="Normal"/>
        <w:spacing w:lineRule="auto" w:line="240" w:before="0" w:after="100"/>
        <w:jc w:val="center"/>
        <w:rPr>
          <w:rFonts w:ascii="Arial" w:hAnsi="Arial" w:eastAsia="Times New Roman" w:cs="Arial"/>
          <w:sz w:val="28"/>
          <w:szCs w:val="28"/>
          <w:lang w:eastAsia="it-IT"/>
        </w:rPr>
      </w:pPr>
      <w:r>
        <w:rPr>
          <w:rFonts w:eastAsia="Times New Roman" w:cs="Arial" w:ascii="Arial" w:hAnsi="Arial"/>
          <w:b/>
          <w:bCs/>
          <w:sz w:val="28"/>
          <w:szCs w:val="28"/>
          <w:lang w:eastAsia="it-IT"/>
        </w:rPr>
        <w:t xml:space="preserve">«Rigenerazione Bagnoli» </w:t>
      </w:r>
    </w:p>
    <w:p>
      <w:pPr>
        <w:pStyle w:val="Testo"/>
        <w:rPr/>
      </w:pPr>
      <w:r>
        <w:rPr/>
      </w:r>
    </w:p>
    <w:p>
      <w:pPr>
        <w:pStyle w:val="Testo"/>
        <w:rPr/>
      </w:pPr>
      <w:r>
        <w:rPr/>
      </w:r>
    </w:p>
    <w:p>
      <w:pPr>
        <w:pStyle w:val="Testo"/>
        <w:rPr/>
      </w:pPr>
      <w:r>
        <w:rPr/>
        <w:drawing>
          <wp:inline distT="0" distB="0" distL="0" distR="0">
            <wp:extent cx="6120130" cy="3102610"/>
            <wp:effectExtent l="0" t="0" r="0" b="0"/>
            <wp:docPr id="2"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
                    <pic:cNvPicPr>
                      <a:picLocks noChangeAspect="1" noChangeArrowheads="1"/>
                    </pic:cNvPicPr>
                  </pic:nvPicPr>
                  <pic:blipFill>
                    <a:blip r:embed="rId5"/>
                    <a:srcRect l="0" t="2255" r="0" b="0"/>
                    <a:stretch>
                      <a:fillRect/>
                    </a:stretch>
                  </pic:blipFill>
                  <pic:spPr bwMode="auto">
                    <a:xfrm>
                      <a:off x="0" y="0"/>
                      <a:ext cx="6120130" cy="3102610"/>
                    </a:xfrm>
                    <a:prstGeom prst="rect">
                      <a:avLst/>
                    </a:prstGeom>
                  </pic:spPr>
                </pic:pic>
              </a:graphicData>
            </a:graphic>
          </wp:inline>
        </w:drawing>
      </w:r>
    </w:p>
    <w:p>
      <w:pPr>
        <w:pStyle w:val="Testo"/>
        <w:rPr/>
      </w:pPr>
      <w:r>
        <w:rPr/>
      </w:r>
    </w:p>
    <w:p>
      <w:pPr>
        <w:pStyle w:val="Testo"/>
        <w:rPr/>
      </w:pPr>
      <w:r>
        <w:rPr/>
      </w:r>
    </w:p>
    <w:p>
      <w:pPr>
        <w:pStyle w:val="Testo"/>
        <w:rPr/>
      </w:pPr>
      <w:r>
        <w:rPr/>
      </w:r>
    </w:p>
    <w:p>
      <w:pPr>
        <w:pStyle w:val="Testo"/>
        <w:rPr/>
      </w:pPr>
      <w:r>
        <w:rPr/>
      </w:r>
    </w:p>
    <w:p>
      <w:pPr>
        <w:pStyle w:val="Normal"/>
        <w:spacing w:before="0" w:after="0"/>
        <w:jc w:val="center"/>
        <w:rPr>
          <w:rFonts w:ascii="Arial" w:hAnsi="Arial" w:eastAsia="Times New Roman" w:cs="Arial"/>
          <w:i/>
          <w:i/>
          <w:color w:val="000000"/>
        </w:rPr>
      </w:pPr>
      <w:r>
        <w:rPr>
          <w:rFonts w:eastAsia="Times New Roman" w:cs="Arial" w:ascii="Arial" w:hAnsi="Arial"/>
          <w:i/>
          <w:color w:val="000000"/>
        </w:rPr>
      </w:r>
    </w:p>
    <w:p>
      <w:pPr>
        <w:pStyle w:val="Normal"/>
        <w:spacing w:before="0" w:after="0"/>
        <w:jc w:val="center"/>
        <w:rPr>
          <w:rFonts w:ascii="Arial" w:hAnsi="Arial" w:eastAsia="Times New Roman" w:cs="Arial"/>
          <w:i/>
          <w:i/>
          <w:color w:val="000000"/>
        </w:rPr>
      </w:pPr>
      <w:r>
        <w:rPr>
          <w:rFonts w:eastAsia="Times New Roman" w:cs="Arial" w:ascii="Arial" w:hAnsi="Arial"/>
          <w:i/>
          <w:color w:val="000000"/>
        </w:rPr>
      </w:r>
    </w:p>
    <w:p>
      <w:pPr>
        <w:pStyle w:val="Normal"/>
        <w:spacing w:before="0" w:after="0"/>
        <w:jc w:val="center"/>
        <w:rPr>
          <w:rFonts w:ascii="Arial" w:hAnsi="Arial" w:eastAsia="Times New Roman" w:cs="Arial"/>
          <w:i/>
          <w:i/>
          <w:color w:val="000000"/>
        </w:rPr>
      </w:pPr>
      <w:r>
        <w:rPr>
          <w:rFonts w:eastAsia="Times New Roman" w:cs="Arial" w:ascii="Arial" w:hAnsi="Arial"/>
          <w:i/>
          <w:color w:val="000000"/>
        </w:rPr>
      </w:r>
    </w:p>
    <w:p>
      <w:pPr>
        <w:pStyle w:val="Normal"/>
        <w:spacing w:before="0" w:after="0"/>
        <w:jc w:val="center"/>
        <w:rPr>
          <w:rFonts w:ascii="Arial" w:hAnsi="Arial" w:eastAsia="Times New Roman" w:cs="Arial"/>
          <w:i/>
          <w:i/>
          <w:color w:val="000000"/>
        </w:rPr>
      </w:pPr>
      <w:r>
        <w:rPr>
          <w:rFonts w:eastAsia="Times New Roman" w:cs="Arial" w:ascii="Arial" w:hAnsi="Arial"/>
          <w:i/>
          <w:color w:val="000000"/>
        </w:rPr>
      </w:r>
    </w:p>
    <w:p>
      <w:pPr>
        <w:pStyle w:val="Normal"/>
        <w:spacing w:before="0" w:after="0"/>
        <w:jc w:val="center"/>
        <w:rPr>
          <w:rFonts w:ascii="Arial" w:hAnsi="Arial" w:eastAsia="Times New Roman" w:cs="Arial"/>
          <w:i/>
          <w:i/>
          <w:color w:val="000000"/>
        </w:rPr>
      </w:pPr>
      <w:r>
        <w:rPr>
          <w:rFonts w:eastAsia="Times New Roman" w:cs="Arial" w:ascii="Arial" w:hAnsi="Arial"/>
          <w:i/>
          <w:color w:val="000000"/>
        </w:rPr>
      </w:r>
    </w:p>
    <w:p>
      <w:pPr>
        <w:pStyle w:val="Normal"/>
        <w:spacing w:before="0" w:after="0"/>
        <w:jc w:val="center"/>
        <w:rPr>
          <w:rFonts w:ascii="Arial" w:hAnsi="Arial" w:eastAsia="Times New Roman" w:cs="Arial"/>
          <w:i/>
          <w:i/>
          <w:color w:val="000000"/>
        </w:rPr>
      </w:pPr>
      <w:r>
        <w:rPr>
          <w:rFonts w:eastAsia="Times New Roman" w:cs="Arial" w:ascii="Arial" w:hAnsi="Arial"/>
          <w:i/>
          <w:color w:val="000000"/>
        </w:rPr>
        <w:t>Consiglio Comunale di Napoli</w:t>
      </w:r>
    </w:p>
    <w:p>
      <w:pPr>
        <w:pStyle w:val="Normal"/>
        <w:spacing w:before="0" w:after="0"/>
        <w:jc w:val="center"/>
        <w:rPr>
          <w:rFonts w:ascii="Arial" w:hAnsi="Arial" w:eastAsia="Times New Roman" w:cs="Arial"/>
          <w:i/>
          <w:i/>
          <w:color w:val="000000"/>
        </w:rPr>
      </w:pPr>
      <w:r>
        <w:rPr>
          <w:rFonts w:eastAsia="Times New Roman" w:cs="Arial" w:ascii="Arial" w:hAnsi="Arial"/>
          <w:i/>
          <w:color w:val="000000"/>
        </w:rPr>
      </w:r>
    </w:p>
    <w:p>
      <w:pPr>
        <w:pStyle w:val="Normal"/>
        <w:spacing w:before="0" w:after="0"/>
        <w:jc w:val="center"/>
        <w:rPr>
          <w:rFonts w:ascii="Arial" w:hAnsi="Arial" w:eastAsia="Times New Roman" w:cs="Arial"/>
          <w:i/>
          <w:i/>
          <w:color w:val="000000"/>
        </w:rPr>
      </w:pPr>
      <w:r>
        <w:rPr>
          <w:rFonts w:eastAsia="Times New Roman" w:cs="Arial" w:ascii="Arial" w:hAnsi="Arial"/>
          <w:i/>
          <w:color w:val="000000"/>
        </w:rPr>
        <w:t>Seduta del 3 marzo 2026</w:t>
      </w:r>
    </w:p>
    <w:sdt>
      <w:sdtPr>
        <w:docPartObj>
          <w:docPartGallery w:val="Table of Contents"/>
          <w:docPartUnique w:val="true"/>
        </w:docPartObj>
      </w:sdtPr>
      <w:sdtContent>
        <w:p>
          <w:pPr>
            <w:pStyle w:val="Titoloindice"/>
            <w:rPr>
              <w:rFonts w:ascii="Arial" w:hAnsi="Arial" w:cs="Arial"/>
              <w:sz w:val="28"/>
              <w:szCs w:val="28"/>
            </w:rPr>
          </w:pPr>
          <w:r>
            <w:rPr>
              <w:rFonts w:cs="Arial" w:ascii="Arial" w:hAnsi="Arial"/>
              <w:sz w:val="28"/>
              <w:szCs w:val="28"/>
            </w:rPr>
          </w:r>
        </w:p>
        <w:p>
          <w:pPr>
            <w:pStyle w:val="Titoloindice"/>
            <w:rPr>
              <w:rFonts w:ascii="Arial" w:hAnsi="Arial" w:cs="Arial"/>
              <w:sz w:val="28"/>
              <w:szCs w:val="28"/>
            </w:rPr>
          </w:pPr>
          <w:r>
            <w:rPr>
              <w:rFonts w:cs="Arial" w:ascii="Arial" w:hAnsi="Arial"/>
              <w:sz w:val="28"/>
              <w:szCs w:val="28"/>
            </w:rPr>
          </w:r>
        </w:p>
        <w:p>
          <w:pPr>
            <w:pStyle w:val="Titoloindice"/>
            <w:rPr>
              <w:rFonts w:ascii="Arial" w:hAnsi="Arial" w:cs="Arial"/>
              <w:sz w:val="28"/>
              <w:szCs w:val="28"/>
            </w:rPr>
          </w:pPr>
          <w:r>
            <w:rPr>
              <w:rFonts w:cs="Arial" w:ascii="Arial" w:hAnsi="Arial"/>
              <w:sz w:val="28"/>
              <w:szCs w:val="28"/>
            </w:rPr>
          </w:r>
        </w:p>
        <w:p>
          <w:pPr>
            <w:pStyle w:val="Titoloindice"/>
            <w:rPr>
              <w:rFonts w:ascii="Arial" w:hAnsi="Arial" w:cs="Arial"/>
              <w:sz w:val="28"/>
              <w:szCs w:val="28"/>
            </w:rPr>
          </w:pPr>
          <w:r>
            <w:rPr>
              <w:rFonts w:cs="Arial" w:ascii="Arial" w:hAnsi="Arial"/>
              <w:sz w:val="28"/>
              <w:szCs w:val="28"/>
            </w:rPr>
          </w:r>
        </w:p>
        <w:p>
          <w:pPr>
            <w:pStyle w:val="Titoloindice"/>
            <w:spacing w:lineRule="auto" w:line="480"/>
            <w:rPr>
              <w:rFonts w:ascii="Arial" w:hAnsi="Arial" w:cs="Arial"/>
              <w:b/>
              <w:b/>
              <w:bCs/>
              <w:color w:val="auto"/>
              <w:sz w:val="28"/>
              <w:szCs w:val="28"/>
            </w:rPr>
          </w:pPr>
          <w:r>
            <w:rPr>
              <w:rFonts w:cs="Arial" w:ascii="Arial" w:hAnsi="Arial"/>
              <w:b/>
              <w:bCs/>
              <w:color w:val="auto"/>
              <w:sz w:val="28"/>
              <w:szCs w:val="28"/>
            </w:rPr>
            <w:t>Sommario</w:t>
          </w:r>
        </w:p>
        <w:p>
          <w:pPr>
            <w:pStyle w:val="Normal"/>
            <w:spacing w:lineRule="auto" w:line="480"/>
            <w:rPr>
              <w:rFonts w:ascii="Arial" w:hAnsi="Arial" w:cs="Arial"/>
              <w:sz w:val="28"/>
              <w:szCs w:val="28"/>
              <w:lang w:eastAsia="it-IT"/>
            </w:rPr>
          </w:pPr>
          <w:r>
            <w:rPr>
              <w:rFonts w:cs="Arial" w:ascii="Arial" w:hAnsi="Arial"/>
              <w:sz w:val="28"/>
              <w:szCs w:val="28"/>
              <w:lang w:eastAsia="it-IT"/>
            </w:rPr>
          </w:r>
        </w:p>
        <w:p>
          <w:pPr>
            <w:pStyle w:val="Normal"/>
            <w:spacing w:lineRule="auto" w:line="480"/>
            <w:rPr>
              <w:rFonts w:ascii="Arial" w:hAnsi="Arial" w:cs="Arial"/>
              <w:sz w:val="28"/>
              <w:szCs w:val="28"/>
              <w:lang w:eastAsia="it-IT"/>
            </w:rPr>
          </w:pPr>
          <w:r>
            <w:rPr>
              <w:rFonts w:cs="Arial" w:ascii="Arial" w:hAnsi="Arial"/>
              <w:sz w:val="28"/>
              <w:szCs w:val="28"/>
              <w:lang w:eastAsia="it-IT"/>
            </w:rPr>
          </w:r>
        </w:p>
        <w:p>
          <w:pPr>
            <w:pStyle w:val="Indice1"/>
            <w:tabs>
              <w:tab w:val="clear" w:pos="708"/>
              <w:tab w:val="left" w:pos="660" w:leader="none"/>
              <w:tab w:val="left" w:pos="709" w:leader="none"/>
              <w:tab w:val="right" w:pos="9628" w:leader="dot"/>
            </w:tabs>
            <w:spacing w:lineRule="auto" w:line="480"/>
            <w:ind w:left="709" w:hanging="709"/>
            <w:rPr>
              <w:rFonts w:ascii="Arial" w:hAnsi="Arial" w:eastAsia="" w:cs="Arial" w:eastAsiaTheme="minorEastAsia"/>
              <w:kern w:val="0"/>
              <w:sz w:val="22"/>
              <w:szCs w:val="22"/>
              <w:lang w:eastAsia="it-IT"/>
              <w14:ligatures w14:val="none"/>
            </w:rPr>
          </w:pPr>
          <w:r>
            <w:fldChar w:fldCharType="begin"/>
          </w:r>
          <w:r>
            <w:rPr>
              <w:webHidden/>
              <w:rStyle w:val="Saltoaindice"/>
              <w:rFonts w:cs="Arial" w:ascii="Arial" w:hAnsi="Arial"/>
            </w:rPr>
            <w:instrText xml:space="preserve"> TOC \z \o "1-3" \u \h</w:instrText>
          </w:r>
          <w:r>
            <w:rPr>
              <w:webHidden/>
              <w:rStyle w:val="Saltoaindice"/>
              <w:rFonts w:cs="Arial" w:ascii="Arial" w:hAnsi="Arial"/>
            </w:rPr>
            <w:fldChar w:fldCharType="separate"/>
          </w:r>
          <w:hyperlink w:anchor="_Toc223095544">
            <w:r>
              <w:rPr>
                <w:webHidden/>
                <w:rStyle w:val="Saltoaindice"/>
                <w:rFonts w:cs="Arial" w:ascii="Arial" w:hAnsi="Arial"/>
              </w:rPr>
              <w:t xml:space="preserve">1. </w:t>
            </w:r>
            <w:r>
              <w:rPr>
                <w:rStyle w:val="Saltoaindice"/>
                <w:rFonts w:eastAsia="" w:cs="Arial" w:ascii="Arial" w:hAnsi="Arial" w:eastAsiaTheme="minorEastAsia"/>
                <w:kern w:val="0"/>
                <w:sz w:val="22"/>
                <w:szCs w:val="22"/>
                <w:lang w:eastAsia="it-IT"/>
                <w14:ligatures w14:val="none"/>
              </w:rPr>
              <w:tab/>
            </w:r>
            <w:r>
              <w:rPr>
                <w:rStyle w:val="Saltoaindice"/>
                <w:rFonts w:cs="Arial" w:ascii="Arial" w:hAnsi="Arial"/>
              </w:rPr>
              <w:t>Premessa: un’unica strategia</w:t>
            </w:r>
            <w:r>
              <w:rPr>
                <w:webHidden/>
              </w:rPr>
              <w:fldChar w:fldCharType="begin"/>
            </w:r>
            <w:r>
              <w:rPr>
                <w:webHidden/>
              </w:rPr>
              <w:instrText xml:space="preserve">PAGEREF _Toc223095544 \h</w:instrText>
            </w:r>
            <w:r>
              <w:rPr>
                <w:webHidden/>
              </w:rPr>
              <w:fldChar w:fldCharType="separate"/>
            </w:r>
            <w:r>
              <w:rPr>
                <w:rStyle w:val="Saltoaindice"/>
                <w:rFonts w:cs="Arial" w:ascii="Arial" w:hAnsi="Arial"/>
                <w:vanish w:val="false"/>
              </w:rPr>
              <w:tab/>
              <w:t>3</w:t>
            </w:r>
            <w:r>
              <w:rPr>
                <w:webHidden/>
              </w:rPr>
              <w:fldChar w:fldCharType="end"/>
            </w:r>
          </w:hyperlink>
        </w:p>
        <w:p>
          <w:pPr>
            <w:pStyle w:val="Indice1"/>
            <w:tabs>
              <w:tab w:val="clear" w:pos="708"/>
              <w:tab w:val="left" w:pos="660" w:leader="none"/>
              <w:tab w:val="left" w:pos="709" w:leader="none"/>
              <w:tab w:val="right" w:pos="9628" w:leader="dot"/>
            </w:tabs>
            <w:spacing w:lineRule="auto" w:line="480"/>
            <w:ind w:left="709" w:hanging="709"/>
            <w:rPr>
              <w:rFonts w:ascii="Arial" w:hAnsi="Arial" w:eastAsia="" w:cs="Arial" w:eastAsiaTheme="minorEastAsia"/>
              <w:kern w:val="0"/>
              <w:sz w:val="22"/>
              <w:szCs w:val="22"/>
              <w:lang w:eastAsia="it-IT"/>
              <w14:ligatures w14:val="none"/>
            </w:rPr>
          </w:pPr>
          <w:hyperlink w:anchor="_Toc223095545">
            <w:r>
              <w:rPr>
                <w:webHidden/>
                <w:rStyle w:val="Saltoaindice"/>
                <w:rFonts w:cs="Arial" w:ascii="Arial" w:hAnsi="Arial"/>
              </w:rPr>
              <w:t xml:space="preserve">2. </w:t>
            </w:r>
            <w:r>
              <w:rPr>
                <w:rStyle w:val="Saltoaindice"/>
                <w:rFonts w:eastAsia="" w:cs="Arial" w:ascii="Arial" w:hAnsi="Arial" w:eastAsiaTheme="minorEastAsia"/>
                <w:kern w:val="0"/>
                <w:sz w:val="22"/>
                <w:szCs w:val="22"/>
                <w:lang w:eastAsia="it-IT"/>
                <w14:ligatures w14:val="none"/>
              </w:rPr>
              <w:tab/>
            </w:r>
            <w:r>
              <w:rPr>
                <w:rStyle w:val="Saltoaindice"/>
                <w:rFonts w:cs="Arial" w:ascii="Arial" w:hAnsi="Arial"/>
              </w:rPr>
              <w:t>Il quadro di riferimento: stato di avanzamento del Programma</w:t>
            </w:r>
            <w:r>
              <w:rPr>
                <w:webHidden/>
              </w:rPr>
              <w:fldChar w:fldCharType="begin"/>
            </w:r>
            <w:r>
              <w:rPr>
                <w:webHidden/>
              </w:rPr>
              <w:instrText xml:space="preserve">PAGEREF _Toc223095545 \h</w:instrText>
            </w:r>
            <w:r>
              <w:rPr>
                <w:webHidden/>
              </w:rPr>
              <w:fldChar w:fldCharType="separate"/>
            </w:r>
            <w:r>
              <w:rPr>
                <w:rStyle w:val="Saltoaindice"/>
                <w:rFonts w:cs="Arial" w:ascii="Arial" w:hAnsi="Arial"/>
                <w:vanish w:val="false"/>
              </w:rPr>
              <w:tab/>
              <w:t>4</w:t>
            </w:r>
            <w:r>
              <w:rPr>
                <w:webHidden/>
              </w:rPr>
              <w:fldChar w:fldCharType="end"/>
            </w:r>
          </w:hyperlink>
        </w:p>
        <w:p>
          <w:pPr>
            <w:pStyle w:val="Indice1"/>
            <w:tabs>
              <w:tab w:val="clear" w:pos="708"/>
              <w:tab w:val="left" w:pos="660" w:leader="none"/>
              <w:tab w:val="left" w:pos="709" w:leader="none"/>
              <w:tab w:val="right" w:pos="9628" w:leader="dot"/>
            </w:tabs>
            <w:spacing w:lineRule="auto" w:line="480"/>
            <w:ind w:left="709" w:hanging="709"/>
            <w:rPr>
              <w:rFonts w:ascii="Arial" w:hAnsi="Arial" w:eastAsia="" w:cs="Arial" w:eastAsiaTheme="minorEastAsia"/>
              <w:kern w:val="0"/>
              <w:sz w:val="22"/>
              <w:szCs w:val="22"/>
              <w:lang w:eastAsia="it-IT"/>
              <w14:ligatures w14:val="none"/>
            </w:rPr>
          </w:pPr>
          <w:hyperlink w:anchor="_Toc223095546">
            <w:r>
              <w:rPr>
                <w:webHidden/>
                <w:rStyle w:val="Saltoaindice"/>
                <w:rFonts w:cs="Arial" w:ascii="Arial" w:hAnsi="Arial"/>
              </w:rPr>
              <w:t xml:space="preserve">3. </w:t>
            </w:r>
            <w:r>
              <w:rPr>
                <w:rStyle w:val="Saltoaindice"/>
                <w:rFonts w:eastAsia="" w:cs="Arial" w:ascii="Arial" w:hAnsi="Arial" w:eastAsiaTheme="minorEastAsia"/>
                <w:kern w:val="0"/>
                <w:sz w:val="22"/>
                <w:szCs w:val="22"/>
                <w:lang w:eastAsia="it-IT"/>
                <w14:ligatures w14:val="none"/>
              </w:rPr>
              <w:tab/>
            </w:r>
            <w:r>
              <w:rPr>
                <w:rStyle w:val="Saltoaindice"/>
                <w:rFonts w:cs="Arial" w:ascii="Arial" w:hAnsi="Arial"/>
              </w:rPr>
              <w:t>Il progetto AC38: cosa prevede a mare e a terra</w:t>
            </w:r>
            <w:r>
              <w:rPr>
                <w:webHidden/>
              </w:rPr>
              <w:fldChar w:fldCharType="begin"/>
            </w:r>
            <w:r>
              <w:rPr>
                <w:webHidden/>
              </w:rPr>
              <w:instrText xml:space="preserve">PAGEREF _Toc223095546 \h</w:instrText>
            </w:r>
            <w:r>
              <w:rPr>
                <w:webHidden/>
              </w:rPr>
              <w:fldChar w:fldCharType="separate"/>
            </w:r>
            <w:r>
              <w:rPr>
                <w:rStyle w:val="Saltoaindice"/>
                <w:rFonts w:cs="Arial" w:ascii="Arial" w:hAnsi="Arial"/>
                <w:vanish w:val="false"/>
              </w:rPr>
              <w:tab/>
              <w:t>6</w:t>
            </w:r>
            <w:r>
              <w:rPr>
                <w:webHidden/>
              </w:rPr>
              <w:fldChar w:fldCharType="end"/>
            </w:r>
          </w:hyperlink>
        </w:p>
        <w:p>
          <w:pPr>
            <w:pStyle w:val="Indice1"/>
            <w:tabs>
              <w:tab w:val="clear" w:pos="708"/>
              <w:tab w:val="left" w:pos="660" w:leader="none"/>
              <w:tab w:val="left" w:pos="709" w:leader="none"/>
              <w:tab w:val="right" w:pos="9628" w:leader="dot"/>
            </w:tabs>
            <w:spacing w:lineRule="auto" w:line="480"/>
            <w:ind w:left="709" w:hanging="709"/>
            <w:rPr>
              <w:rFonts w:ascii="Arial" w:hAnsi="Arial" w:eastAsia="" w:cs="Arial" w:eastAsiaTheme="minorEastAsia"/>
              <w:kern w:val="0"/>
              <w:sz w:val="22"/>
              <w:szCs w:val="22"/>
              <w:lang w:eastAsia="it-IT"/>
              <w14:ligatures w14:val="none"/>
            </w:rPr>
          </w:pPr>
          <w:hyperlink w:anchor="_Toc223095547">
            <w:r>
              <w:rPr>
                <w:webHidden/>
                <w:rStyle w:val="Saltoaindice"/>
                <w:rFonts w:cs="Arial" w:ascii="Arial" w:hAnsi="Arial"/>
              </w:rPr>
              <w:t xml:space="preserve">4. </w:t>
            </w:r>
            <w:r>
              <w:rPr>
                <w:rStyle w:val="Saltoaindice"/>
                <w:rFonts w:eastAsia="" w:cs="Arial" w:ascii="Arial" w:hAnsi="Arial" w:eastAsiaTheme="minorEastAsia"/>
                <w:kern w:val="0"/>
                <w:sz w:val="22"/>
                <w:szCs w:val="22"/>
                <w:lang w:eastAsia="it-IT"/>
                <w14:ligatures w14:val="none"/>
              </w:rPr>
              <w:tab/>
            </w:r>
            <w:r>
              <w:rPr>
                <w:rStyle w:val="Saltoaindice"/>
                <w:rFonts w:cs="Arial" w:ascii="Arial" w:hAnsi="Arial"/>
              </w:rPr>
              <w:t>Il futuro della colmata dopo l’America’s Cup</w:t>
            </w:r>
            <w:r>
              <w:rPr>
                <w:webHidden/>
              </w:rPr>
              <w:fldChar w:fldCharType="begin"/>
            </w:r>
            <w:r>
              <w:rPr>
                <w:webHidden/>
              </w:rPr>
              <w:instrText xml:space="preserve">PAGEREF _Toc223095547 \h</w:instrText>
            </w:r>
            <w:r>
              <w:rPr>
                <w:webHidden/>
              </w:rPr>
              <w:fldChar w:fldCharType="separate"/>
            </w:r>
            <w:r>
              <w:rPr>
                <w:rStyle w:val="Saltoaindice"/>
                <w:rFonts w:cs="Arial" w:ascii="Arial" w:hAnsi="Arial"/>
                <w:vanish w:val="false"/>
              </w:rPr>
              <w:tab/>
              <w:t>7</w:t>
            </w:r>
            <w:r>
              <w:rPr>
                <w:webHidden/>
              </w:rPr>
              <w:fldChar w:fldCharType="end"/>
            </w:r>
          </w:hyperlink>
        </w:p>
        <w:p>
          <w:pPr>
            <w:pStyle w:val="Indice1"/>
            <w:tabs>
              <w:tab w:val="clear" w:pos="708"/>
              <w:tab w:val="left" w:pos="660" w:leader="none"/>
              <w:tab w:val="left" w:pos="709" w:leader="none"/>
              <w:tab w:val="right" w:pos="9628" w:leader="dot"/>
            </w:tabs>
            <w:spacing w:lineRule="auto" w:line="480"/>
            <w:ind w:left="709" w:hanging="709"/>
            <w:rPr>
              <w:rFonts w:ascii="Arial" w:hAnsi="Arial" w:eastAsia="" w:cs="Arial" w:eastAsiaTheme="minorEastAsia"/>
              <w:kern w:val="0"/>
              <w:sz w:val="22"/>
              <w:szCs w:val="22"/>
              <w:lang w:eastAsia="it-IT"/>
              <w14:ligatures w14:val="none"/>
            </w:rPr>
          </w:pPr>
          <w:hyperlink w:anchor="_Toc223095548">
            <w:r>
              <w:rPr>
                <w:webHidden/>
                <w:rStyle w:val="Saltoaindice"/>
                <w:rFonts w:cs="Arial" w:ascii="Arial" w:hAnsi="Arial"/>
              </w:rPr>
              <w:t xml:space="preserve">5. </w:t>
            </w:r>
            <w:r>
              <w:rPr>
                <w:rStyle w:val="Saltoaindice"/>
                <w:rFonts w:eastAsia="" w:cs="Arial" w:ascii="Arial" w:hAnsi="Arial" w:eastAsiaTheme="minorEastAsia"/>
                <w:kern w:val="0"/>
                <w:sz w:val="22"/>
                <w:szCs w:val="22"/>
                <w:lang w:eastAsia="it-IT"/>
                <w14:ligatures w14:val="none"/>
              </w:rPr>
              <w:tab/>
            </w:r>
            <w:r>
              <w:rPr>
                <w:rStyle w:val="Saltoaindice"/>
                <w:rFonts w:cs="Arial" w:ascii="Arial" w:hAnsi="Arial"/>
              </w:rPr>
              <w:t>Sicurezza ambientale e sanitaria</w:t>
            </w:r>
            <w:r>
              <w:rPr>
                <w:webHidden/>
              </w:rPr>
              <w:fldChar w:fldCharType="begin"/>
            </w:r>
            <w:r>
              <w:rPr>
                <w:webHidden/>
              </w:rPr>
              <w:instrText xml:space="preserve">PAGEREF _Toc223095548 \h</w:instrText>
            </w:r>
            <w:r>
              <w:rPr>
                <w:webHidden/>
              </w:rPr>
              <w:fldChar w:fldCharType="separate"/>
            </w:r>
            <w:r>
              <w:rPr>
                <w:rStyle w:val="Saltoaindice"/>
                <w:rFonts w:cs="Arial" w:ascii="Arial" w:hAnsi="Arial"/>
                <w:vanish w:val="false"/>
              </w:rPr>
              <w:tab/>
              <w:t>8</w:t>
            </w:r>
            <w:r>
              <w:rPr>
                <w:webHidden/>
              </w:rPr>
              <w:fldChar w:fldCharType="end"/>
            </w:r>
          </w:hyperlink>
        </w:p>
        <w:p>
          <w:pPr>
            <w:pStyle w:val="Indice1"/>
            <w:tabs>
              <w:tab w:val="clear" w:pos="708"/>
              <w:tab w:val="left" w:pos="440" w:leader="none"/>
              <w:tab w:val="left" w:pos="709" w:leader="none"/>
              <w:tab w:val="right" w:pos="9628" w:leader="dot"/>
            </w:tabs>
            <w:spacing w:lineRule="auto" w:line="480"/>
            <w:ind w:left="709" w:hanging="709"/>
            <w:rPr>
              <w:rFonts w:ascii="Arial" w:hAnsi="Arial" w:eastAsia="" w:cs="Arial" w:eastAsiaTheme="minorEastAsia"/>
              <w:kern w:val="0"/>
              <w:sz w:val="22"/>
              <w:szCs w:val="22"/>
              <w:lang w:eastAsia="it-IT"/>
              <w14:ligatures w14:val="none"/>
            </w:rPr>
          </w:pPr>
          <w:hyperlink w:anchor="_Toc223095549">
            <w:r>
              <w:rPr>
                <w:webHidden/>
                <w:rStyle w:val="Saltoaindice"/>
                <w:rFonts w:cs="Arial" w:ascii="Arial" w:hAnsi="Arial"/>
              </w:rPr>
              <w:t>6.</w:t>
            </w:r>
            <w:r>
              <w:rPr>
                <w:rStyle w:val="Saltoaindice"/>
                <w:rFonts w:eastAsia="" w:cs="Arial" w:ascii="Arial" w:hAnsi="Arial" w:eastAsiaTheme="minorEastAsia"/>
                <w:kern w:val="0"/>
                <w:sz w:val="22"/>
                <w:szCs w:val="22"/>
                <w:lang w:eastAsia="it-IT"/>
                <w14:ligatures w14:val="none"/>
              </w:rPr>
              <w:tab/>
              <w:tab/>
            </w:r>
            <w:r>
              <w:rPr>
                <w:rStyle w:val="Saltoaindice"/>
                <w:rFonts w:cs="Arial" w:ascii="Arial" w:hAnsi="Arial"/>
              </w:rPr>
              <w:t>Le opere infrastrutturali di supporto e il lascito per Bagnoli</w:t>
            </w:r>
            <w:r>
              <w:rPr>
                <w:webHidden/>
              </w:rPr>
              <w:fldChar w:fldCharType="begin"/>
            </w:r>
            <w:r>
              <w:rPr>
                <w:webHidden/>
              </w:rPr>
              <w:instrText xml:space="preserve">PAGEREF _Toc223095549 \h</w:instrText>
            </w:r>
            <w:r>
              <w:rPr>
                <w:webHidden/>
              </w:rPr>
              <w:fldChar w:fldCharType="separate"/>
            </w:r>
            <w:r>
              <w:rPr>
                <w:rStyle w:val="Saltoaindice"/>
                <w:rFonts w:cs="Arial" w:ascii="Arial" w:hAnsi="Arial"/>
                <w:vanish w:val="false"/>
              </w:rPr>
              <w:tab/>
              <w:t>9</w:t>
            </w:r>
            <w:r>
              <w:rPr>
                <w:webHidden/>
              </w:rPr>
              <w:fldChar w:fldCharType="end"/>
            </w:r>
          </w:hyperlink>
        </w:p>
        <w:p>
          <w:pPr>
            <w:pStyle w:val="Normal"/>
            <w:spacing w:lineRule="auto" w:line="480"/>
            <w:rPr>
              <w:rFonts w:ascii="Arial" w:hAnsi="Arial" w:cs="Arial"/>
              <w:sz w:val="28"/>
              <w:szCs w:val="28"/>
            </w:rPr>
          </w:pPr>
          <w:r>
            <w:rPr>
              <w:rFonts w:cs="Arial" w:ascii="Arial" w:hAnsi="Arial"/>
              <w:sz w:val="28"/>
              <w:szCs w:val="28"/>
            </w:rPr>
          </w:r>
          <w:r>
            <w:rPr>
              <w:sz w:val="28"/>
              <w:szCs w:val="28"/>
              <w:rFonts w:cs="Arial" w:ascii="Arial" w:hAnsi="Arial"/>
            </w:rPr>
            <w:fldChar w:fldCharType="end"/>
          </w:r>
        </w:p>
      </w:sdtContent>
    </w:sdt>
    <w:p>
      <w:pPr>
        <w:pStyle w:val="Normal"/>
        <w:rPr>
          <w:rFonts w:ascii="Arial" w:hAnsi="Arial" w:eastAsia="Times New Roman" w:cs="Arial"/>
          <w:i/>
          <w:i/>
          <w:color w:val="000000"/>
        </w:rPr>
      </w:pPr>
      <w:r>
        <w:rPr>
          <w:rFonts w:eastAsia="Times New Roman" w:cs="Arial" w:ascii="Arial" w:hAnsi="Arial"/>
          <w:i/>
          <w:color w:val="000000"/>
        </w:rPr>
      </w:r>
    </w:p>
    <w:p>
      <w:pPr>
        <w:pStyle w:val="Normal"/>
        <w:rPr>
          <w:rFonts w:ascii="Arial" w:hAnsi="Arial" w:cs="Arial"/>
          <w:b/>
          <w:b/>
          <w:bCs/>
          <w:sz w:val="22"/>
          <w:szCs w:val="22"/>
        </w:rPr>
      </w:pPr>
      <w:r>
        <w:rPr>
          <w:rFonts w:cs="Arial" w:ascii="Arial" w:hAnsi="Arial"/>
          <w:b/>
          <w:bCs/>
          <w:sz w:val="22"/>
          <w:szCs w:val="22"/>
        </w:rPr>
      </w:r>
      <w:r>
        <w:br w:type="page"/>
      </w:r>
    </w:p>
    <w:p>
      <w:pPr>
        <w:pStyle w:val="Titolo1"/>
        <w:rPr/>
      </w:pPr>
      <w:bookmarkStart w:id="3" w:name="_Toc223095544"/>
      <w:r>
        <w:rPr/>
        <w:t xml:space="preserve">1. </w:t>
        <w:tab/>
        <w:t>Premessa: un’unica strategia</w:t>
      </w:r>
      <w:bookmarkEnd w:id="3"/>
    </w:p>
    <w:p>
      <w:pPr>
        <w:pStyle w:val="Normal"/>
        <w:jc w:val="both"/>
        <w:rPr>
          <w:rFonts w:ascii="Arial" w:hAnsi="Arial" w:cs="Arial"/>
          <w:sz w:val="22"/>
          <w:szCs w:val="22"/>
        </w:rPr>
      </w:pPr>
      <w:r>
        <w:rPr>
          <w:rFonts w:cs="Arial" w:ascii="Arial" w:hAnsi="Arial"/>
          <w:sz w:val="22"/>
          <w:szCs w:val="22"/>
        </w:rPr>
        <w:t>Questa seduta monotematica del Consiglio Comunale è l’occasione per chiarire un punto fondamentale che rappresenta la premessa sulla quale impostare il dibattito: a Bagnoli non sono in corso due progetti distinti – uno di rigenerazione e uno legato all’America’s Cup – ma un’unica strategia pubblica, dentro la quale l’evento sportivo si inserisce come acceleratore, non come alternativa.</w:t>
      </w:r>
    </w:p>
    <w:p>
      <w:pPr>
        <w:pStyle w:val="Normal"/>
        <w:jc w:val="both"/>
        <w:rPr>
          <w:rFonts w:ascii="Arial" w:hAnsi="Arial" w:cs="Arial"/>
          <w:sz w:val="22"/>
          <w:szCs w:val="22"/>
        </w:rPr>
      </w:pPr>
      <w:r>
        <w:rPr>
          <w:rFonts w:cs="Arial" w:ascii="Arial" w:hAnsi="Arial"/>
          <w:sz w:val="22"/>
          <w:szCs w:val="22"/>
        </w:rPr>
        <w:t>Come noto, l’area di Bagnoli-Coroglio è Area di Rilevante Interesse Nazionale. Per essa è stato approvato nel 2019, con Decreto del Presidente della Repubblica, il Programma di Risanamento Ambientale e Rigenerazione Urbana.</w:t>
      </w:r>
    </w:p>
    <w:p>
      <w:pPr>
        <w:pStyle w:val="Normal"/>
        <w:jc w:val="both"/>
        <w:rPr>
          <w:rFonts w:ascii="Arial" w:hAnsi="Arial" w:cs="Arial"/>
          <w:sz w:val="22"/>
          <w:szCs w:val="22"/>
        </w:rPr>
      </w:pPr>
      <w:r>
        <w:rPr>
          <w:rFonts w:cs="Arial" w:ascii="Arial" w:hAnsi="Arial"/>
          <w:sz w:val="22"/>
          <w:szCs w:val="22"/>
        </w:rPr>
        <w:t>Il Programma definisce con chiarezza:</w:t>
      </w:r>
    </w:p>
    <w:p>
      <w:pPr>
        <w:pStyle w:val="Normal"/>
        <w:numPr>
          <w:ilvl w:val="0"/>
          <w:numId w:val="1"/>
        </w:numPr>
        <w:jc w:val="both"/>
        <w:rPr>
          <w:rFonts w:ascii="Arial" w:hAnsi="Arial" w:cs="Arial"/>
          <w:sz w:val="22"/>
          <w:szCs w:val="22"/>
        </w:rPr>
      </w:pPr>
      <w:r>
        <w:rPr>
          <w:rFonts w:cs="Arial" w:ascii="Arial" w:hAnsi="Arial"/>
          <w:sz w:val="22"/>
          <w:szCs w:val="22"/>
        </w:rPr>
        <w:t>il risanamento ambientale dell’area, a terra e a mare;</w:t>
      </w:r>
    </w:p>
    <w:p>
      <w:pPr>
        <w:pStyle w:val="Normal"/>
        <w:numPr>
          <w:ilvl w:val="0"/>
          <w:numId w:val="1"/>
        </w:numPr>
        <w:jc w:val="both"/>
        <w:rPr>
          <w:rFonts w:ascii="Arial" w:hAnsi="Arial" w:cs="Arial"/>
          <w:sz w:val="22"/>
          <w:szCs w:val="22"/>
        </w:rPr>
      </w:pPr>
      <w:r>
        <w:rPr>
          <w:rFonts w:cs="Arial" w:ascii="Arial" w:hAnsi="Arial"/>
          <w:sz w:val="22"/>
          <w:szCs w:val="22"/>
        </w:rPr>
        <w:t>la restituzione pubblica del litorale;</w:t>
      </w:r>
    </w:p>
    <w:p>
      <w:pPr>
        <w:pStyle w:val="Normal"/>
        <w:numPr>
          <w:ilvl w:val="0"/>
          <w:numId w:val="1"/>
        </w:numPr>
        <w:jc w:val="both"/>
        <w:rPr>
          <w:rFonts w:ascii="Arial" w:hAnsi="Arial" w:cs="Arial"/>
          <w:sz w:val="22"/>
          <w:szCs w:val="22"/>
        </w:rPr>
      </w:pPr>
      <w:r>
        <w:rPr>
          <w:rFonts w:cs="Arial" w:ascii="Arial" w:hAnsi="Arial"/>
          <w:sz w:val="22"/>
          <w:szCs w:val="22"/>
        </w:rPr>
        <w:t>la realizzazione del parco urbano;</w:t>
      </w:r>
    </w:p>
    <w:p>
      <w:pPr>
        <w:pStyle w:val="Normal"/>
        <w:numPr>
          <w:ilvl w:val="0"/>
          <w:numId w:val="1"/>
        </w:numPr>
        <w:jc w:val="both"/>
        <w:rPr>
          <w:rFonts w:ascii="Arial" w:hAnsi="Arial" w:cs="Arial"/>
          <w:sz w:val="22"/>
          <w:szCs w:val="22"/>
        </w:rPr>
      </w:pPr>
      <w:r>
        <w:rPr>
          <w:rFonts w:cs="Arial" w:ascii="Arial" w:hAnsi="Arial"/>
          <w:sz w:val="22"/>
          <w:szCs w:val="22"/>
        </w:rPr>
        <w:t>la spiaggia pubblica e il recupero della balneabilità.</w:t>
      </w:r>
    </w:p>
    <w:p>
      <w:pPr>
        <w:pStyle w:val="Normal"/>
        <w:jc w:val="both"/>
        <w:rPr>
          <w:rFonts w:ascii="Arial" w:hAnsi="Arial" w:cs="Arial"/>
          <w:b/>
          <w:b/>
          <w:bCs/>
          <w:sz w:val="22"/>
          <w:szCs w:val="22"/>
        </w:rPr>
      </w:pPr>
      <w:r>
        <w:rPr>
          <w:rFonts w:cs="Arial" w:ascii="Arial" w:hAnsi="Arial"/>
          <w:b/>
          <w:bCs/>
          <w:sz w:val="22"/>
          <w:szCs w:val="22"/>
        </w:rPr>
        <w:t>Quel quadro programmatorio è tuttora vigente. Non è stato modificato.</w:t>
      </w:r>
    </w:p>
    <w:p>
      <w:pPr>
        <w:pStyle w:val="Normal"/>
        <w:jc w:val="both"/>
        <w:rPr>
          <w:rFonts w:ascii="Arial" w:hAnsi="Arial" w:cs="Arial"/>
          <w:b/>
          <w:b/>
          <w:bCs/>
          <w:sz w:val="22"/>
          <w:szCs w:val="22"/>
        </w:rPr>
      </w:pPr>
      <w:r>
        <w:rPr>
          <w:rFonts w:cs="Arial" w:ascii="Arial" w:hAnsi="Arial"/>
          <w:b/>
          <w:bCs/>
          <w:sz w:val="22"/>
          <w:szCs w:val="22"/>
        </w:rPr>
        <w:t>Alle eventuali ipotesi di aggiornamento – come nel caso della configurazione definitiva della colmata – seguono e seguiranno le procedure ambientali previste dall’ordinamento e non sono oggi oggetto di approvazione.</w:t>
      </w:r>
    </w:p>
    <w:p>
      <w:pPr>
        <w:pStyle w:val="Normal"/>
        <w:jc w:val="both"/>
        <w:rPr>
          <w:rFonts w:ascii="Arial" w:hAnsi="Arial" w:cs="Arial"/>
          <w:b/>
          <w:b/>
          <w:bCs/>
          <w:sz w:val="22"/>
          <w:szCs w:val="22"/>
        </w:rPr>
      </w:pPr>
      <w:r>
        <w:rPr>
          <w:rFonts w:cs="Arial" w:ascii="Arial" w:hAnsi="Arial"/>
          <w:sz w:val="22"/>
          <w:szCs w:val="22"/>
        </w:rPr>
        <w:t xml:space="preserve">È dunque importante affermarlo con nettezza: </w:t>
      </w:r>
      <w:r>
        <w:rPr>
          <w:rFonts w:cs="Arial" w:ascii="Arial" w:hAnsi="Arial"/>
          <w:b/>
          <w:bCs/>
          <w:sz w:val="22"/>
          <w:szCs w:val="22"/>
        </w:rPr>
        <w:t>non è in corso una variante generale, né una trasformazione della destinazione dell’area.</w:t>
      </w:r>
    </w:p>
    <w:p>
      <w:pPr>
        <w:pStyle w:val="Normal"/>
        <w:jc w:val="both"/>
        <w:rPr>
          <w:rFonts w:ascii="Arial" w:hAnsi="Arial" w:cs="Arial"/>
          <w:sz w:val="22"/>
          <w:szCs w:val="22"/>
        </w:rPr>
      </w:pPr>
      <w:r>
        <w:rPr>
          <w:rFonts w:cs="Arial" w:ascii="Arial" w:hAnsi="Arial"/>
          <w:sz w:val="22"/>
          <w:szCs w:val="22"/>
        </w:rPr>
        <w:t>La 38th America’s Cup si colloca dentro questo percorso come occasione di anticipazione temporale di alcune opere e come concentrazione di risorse e attenzioni su un processo già avviato.</w:t>
      </w:r>
    </w:p>
    <w:p>
      <w:pPr>
        <w:pStyle w:val="Normal"/>
        <w:jc w:val="both"/>
        <w:rPr>
          <w:rFonts w:ascii="Arial" w:hAnsi="Arial" w:cs="Arial"/>
          <w:sz w:val="22"/>
          <w:szCs w:val="22"/>
        </w:rPr>
      </w:pPr>
      <w:r>
        <w:rPr>
          <w:rFonts w:cs="Arial" w:ascii="Arial" w:hAnsi="Arial"/>
          <w:sz w:val="22"/>
          <w:szCs w:val="22"/>
        </w:rPr>
        <w:t>Non sostituisce la rigenerazione.</w:t>
      </w:r>
    </w:p>
    <w:p>
      <w:pPr>
        <w:pStyle w:val="Normal"/>
        <w:jc w:val="both"/>
        <w:rPr>
          <w:rFonts w:ascii="Arial" w:hAnsi="Arial" w:cs="Arial"/>
          <w:sz w:val="22"/>
          <w:szCs w:val="22"/>
        </w:rPr>
      </w:pPr>
      <w:r>
        <w:rPr>
          <w:rFonts w:cs="Arial" w:ascii="Arial" w:hAnsi="Arial"/>
          <w:sz w:val="22"/>
          <w:szCs w:val="22"/>
        </w:rPr>
        <w:t>Non ne altera gli obiettivi.</w:t>
      </w:r>
    </w:p>
    <w:p>
      <w:pPr>
        <w:pStyle w:val="Normal"/>
        <w:jc w:val="both"/>
        <w:rPr>
          <w:rFonts w:ascii="Arial" w:hAnsi="Arial" w:cs="Arial"/>
          <w:sz w:val="22"/>
          <w:szCs w:val="22"/>
        </w:rPr>
      </w:pPr>
      <w:r>
        <w:rPr>
          <w:rFonts w:cs="Arial" w:ascii="Arial" w:hAnsi="Arial"/>
          <w:sz w:val="22"/>
          <w:szCs w:val="22"/>
        </w:rPr>
        <w:t>Non ne modifica la natura pubblica.</w:t>
      </w:r>
    </w:p>
    <w:p>
      <w:pPr>
        <w:pStyle w:val="Normal"/>
        <w:jc w:val="both"/>
        <w:rPr>
          <w:rFonts w:ascii="Arial" w:hAnsi="Arial" w:cs="Arial"/>
          <w:sz w:val="22"/>
          <w:szCs w:val="22"/>
        </w:rPr>
      </w:pPr>
      <w:r>
        <w:rPr>
          <w:rFonts w:cs="Arial" w:ascii="Arial" w:hAnsi="Arial"/>
          <w:sz w:val="22"/>
          <w:szCs w:val="22"/>
        </w:rPr>
        <w:t>L’evento utilizza in modo funzionale e in parte temporaneo porzioni di area, ma non cambia la strategia definita nel 2019 con il PRARU.</w:t>
      </w:r>
    </w:p>
    <w:p>
      <w:pPr>
        <w:pStyle w:val="Normal"/>
        <w:jc w:val="both"/>
        <w:rPr>
          <w:rFonts w:ascii="Arial" w:hAnsi="Arial" w:cs="Arial"/>
          <w:sz w:val="22"/>
          <w:szCs w:val="22"/>
        </w:rPr>
      </w:pPr>
      <w:r>
        <w:rPr>
          <w:rFonts w:cs="Arial" w:ascii="Arial" w:hAnsi="Arial"/>
          <w:sz w:val="22"/>
          <w:szCs w:val="22"/>
        </w:rPr>
        <w:t xml:space="preserve">Allo stesso modo, non è corretto rappresentare ciò che sta accadendo come una decisione assunta senza confronto. Il Programma vigente è stato oggetto di un lungo iter istituzionale; le eventuali </w:t>
      </w:r>
      <w:r>
        <w:rPr>
          <w:rFonts w:cs="Arial" w:ascii="Arial" w:hAnsi="Arial"/>
          <w:b/>
          <w:bCs/>
          <w:sz w:val="22"/>
          <w:szCs w:val="22"/>
        </w:rPr>
        <w:t>modifiche sostanziali</w:t>
      </w:r>
      <w:r>
        <w:rPr>
          <w:rFonts w:cs="Arial" w:ascii="Arial" w:hAnsi="Arial"/>
          <w:sz w:val="22"/>
          <w:szCs w:val="22"/>
        </w:rPr>
        <w:t xml:space="preserve"> seguiranno le procedure ambientali previste; e la configurazione definitiva di alcune parti dell’area, a partire dalla colmata, sarà oggetto di progettazione e confronto pubblico.</w:t>
      </w:r>
    </w:p>
    <w:p>
      <w:pPr>
        <w:pStyle w:val="Normal"/>
        <w:jc w:val="both"/>
        <w:rPr>
          <w:rFonts w:ascii="Arial" w:hAnsi="Arial" w:cs="Arial"/>
          <w:sz w:val="22"/>
          <w:szCs w:val="22"/>
        </w:rPr>
      </w:pPr>
      <w:r>
        <w:rPr>
          <w:rFonts w:cs="Arial" w:ascii="Arial" w:hAnsi="Arial"/>
          <w:sz w:val="22"/>
          <w:szCs w:val="22"/>
        </w:rPr>
        <w:t>Infine, va respinta con chiarezza l’idea che l’evento comporti una privatizzazione dell’area.</w:t>
      </w:r>
    </w:p>
    <w:p>
      <w:pPr>
        <w:pStyle w:val="Normal"/>
        <w:jc w:val="both"/>
        <w:rPr>
          <w:rFonts w:ascii="Arial" w:hAnsi="Arial" w:cs="Arial"/>
          <w:sz w:val="22"/>
          <w:szCs w:val="22"/>
        </w:rPr>
      </w:pPr>
      <w:r>
        <w:rPr>
          <w:rFonts w:cs="Arial" w:ascii="Arial" w:hAnsi="Arial"/>
          <w:sz w:val="22"/>
          <w:szCs w:val="22"/>
        </w:rPr>
        <w:t>Le funzioni fondamentali non sono mutate.</w:t>
      </w:r>
    </w:p>
    <w:p>
      <w:pPr>
        <w:pStyle w:val="Normal"/>
        <w:jc w:val="both"/>
        <w:rPr>
          <w:rFonts w:ascii="Arial" w:hAnsi="Arial" w:cs="Arial"/>
          <w:b/>
          <w:b/>
          <w:bCs/>
          <w:sz w:val="22"/>
          <w:szCs w:val="22"/>
        </w:rPr>
      </w:pPr>
      <w:r>
        <w:rPr>
          <w:rFonts w:cs="Arial" w:ascii="Arial" w:hAnsi="Arial"/>
          <w:b/>
          <w:bCs/>
          <w:sz w:val="22"/>
          <w:szCs w:val="22"/>
        </w:rPr>
        <w:t>Il parco resta parco. La spiaggia resta spiaggia pubblica. La balneabilità del mare resta un obiettivo ineludibile di restituzione collettiva.</w:t>
      </w:r>
    </w:p>
    <w:p>
      <w:pPr>
        <w:pStyle w:val="Normal"/>
        <w:rPr>
          <w:rFonts w:ascii="Arial" w:hAnsi="Arial" w:cs="Arial"/>
          <w:sz w:val="22"/>
          <w:szCs w:val="22"/>
        </w:rPr>
      </w:pPr>
      <w:r>
        <w:rPr>
          <w:rFonts w:cs="Arial" w:ascii="Arial" w:hAnsi="Arial"/>
          <w:sz w:val="22"/>
          <w:szCs w:val="22"/>
        </w:rPr>
      </w:r>
    </w:p>
    <w:p>
      <w:pPr>
        <w:pStyle w:val="Titolo1"/>
        <w:rPr/>
      </w:pPr>
      <w:bookmarkStart w:id="4" w:name="_Toc223095545"/>
      <w:r>
        <w:rPr/>
        <w:t xml:space="preserve">2. </w:t>
        <w:tab/>
        <w:t>Il quadro di riferimento: stato di avanzamento del Programma</w:t>
      </w:r>
      <w:bookmarkEnd w:id="4"/>
    </w:p>
    <w:p>
      <w:pPr>
        <w:pStyle w:val="Normal"/>
        <w:jc w:val="both"/>
        <w:rPr>
          <w:rFonts w:ascii="Arial" w:hAnsi="Arial" w:cs="Arial"/>
          <w:sz w:val="22"/>
          <w:szCs w:val="22"/>
        </w:rPr>
      </w:pPr>
      <w:r>
        <w:rPr>
          <w:rFonts w:cs="Arial" w:ascii="Arial" w:hAnsi="Arial"/>
          <w:sz w:val="22"/>
          <w:szCs w:val="22"/>
        </w:rPr>
        <w:t>Il Programma di Risanamento Ambientale e Rigenerazione Urbana approvato nel 2019 costituisce il riferimento vigente per l’intero comprensorio di Bagnoli-Coroglio. Il suo impianto si fonda su due direttrici integrate: il risanamento ambientale, a terra e a mare, e la successiva rigenerazione urbana, con particolare riferimento alla realizzazione del parco di oltre 120 ettari e alla restituzione pubblica del litorale.</w:t>
      </w:r>
    </w:p>
    <w:p>
      <w:pPr>
        <w:pStyle w:val="Normal"/>
        <w:jc w:val="both"/>
        <w:rPr>
          <w:rFonts w:ascii="Arial" w:hAnsi="Arial" w:cs="Arial"/>
          <w:sz w:val="22"/>
          <w:szCs w:val="22"/>
        </w:rPr>
      </w:pPr>
      <w:r>
        <w:rPr>
          <w:rFonts w:cs="Arial" w:ascii="Arial" w:hAnsi="Arial"/>
          <w:sz w:val="22"/>
          <w:szCs w:val="22"/>
        </w:rPr>
        <w:t xml:space="preserve">Per quanto riguarda le </w:t>
      </w:r>
      <w:r>
        <w:rPr>
          <w:rFonts w:cs="Arial" w:ascii="Arial" w:hAnsi="Arial"/>
          <w:b/>
          <w:bCs/>
          <w:sz w:val="22"/>
          <w:szCs w:val="22"/>
        </w:rPr>
        <w:t>bonifiche a terra</w:t>
      </w:r>
      <w:r>
        <w:rPr>
          <w:rFonts w:cs="Arial" w:ascii="Arial" w:hAnsi="Arial"/>
          <w:sz w:val="22"/>
          <w:szCs w:val="22"/>
        </w:rPr>
        <w:t>, lo stato di attuazione evidenzia un quadro articolato ma definito.</w:t>
      </w:r>
    </w:p>
    <w:p>
      <w:pPr>
        <w:pStyle w:val="Normal"/>
        <w:jc w:val="both"/>
        <w:rPr>
          <w:rFonts w:ascii="Arial" w:hAnsi="Arial" w:cs="Arial"/>
          <w:b/>
          <w:b/>
          <w:bCs/>
          <w:sz w:val="22"/>
          <w:szCs w:val="22"/>
        </w:rPr>
      </w:pPr>
      <w:r>
        <w:rPr>
          <w:rFonts w:cs="Arial" w:ascii="Arial" w:hAnsi="Arial"/>
          <w:b/>
          <w:bCs/>
          <w:sz w:val="22"/>
          <w:szCs w:val="22"/>
        </w:rPr>
        <w:t xml:space="preserve">Nell’area </w:t>
      </w:r>
      <w:r>
        <w:rPr>
          <w:rFonts w:cs="Arial" w:ascii="Arial" w:hAnsi="Arial"/>
          <w:b/>
          <w:bCs/>
          <w:sz w:val="22"/>
          <w:szCs w:val="22"/>
          <w:u w:val="single"/>
        </w:rPr>
        <w:t>ex Eternit</w:t>
      </w:r>
      <w:r>
        <w:rPr>
          <w:rFonts w:cs="Arial" w:ascii="Arial" w:hAnsi="Arial"/>
          <w:b/>
          <w:bCs/>
          <w:sz w:val="22"/>
          <w:szCs w:val="22"/>
        </w:rPr>
        <w:t>, gli interventi di bonifica da amianto sono stati completati nel febbraio 2023 e collaudati nel novembre dello stesso anno.</w:t>
      </w:r>
      <w:r>
        <w:rPr>
          <w:rFonts w:cs="Arial" w:ascii="Arial" w:hAnsi="Arial"/>
          <w:sz w:val="22"/>
          <w:szCs w:val="22"/>
        </w:rPr>
        <w:t xml:space="preserve"> La conclusione formale del procedimento è oggi subordinata all’adeguamento urbanistico conseguente all’entrata in vigore del D.L. 76/2024 e della L.R. 23/2024, che introducono limitazioni al carico abitativo nelle aree interessate da fenomeni di bradisismo. Si tratta, quindi, di un profilo urbanistico e normativo, non di una criticità tecnica della </w:t>
      </w:r>
      <w:r>
        <w:rPr>
          <w:rFonts w:cs="Arial" w:ascii="Arial" w:hAnsi="Arial"/>
          <w:b/>
          <w:bCs/>
          <w:sz w:val="22"/>
          <w:szCs w:val="22"/>
        </w:rPr>
        <w:t>bonifica.</w:t>
      </w:r>
    </w:p>
    <w:p>
      <w:pPr>
        <w:pStyle w:val="Normal"/>
        <w:jc w:val="both"/>
        <w:rPr>
          <w:rFonts w:ascii="Arial" w:hAnsi="Arial" w:cs="Arial"/>
          <w:sz w:val="22"/>
          <w:szCs w:val="22"/>
        </w:rPr>
      </w:pPr>
      <w:r>
        <w:rPr>
          <w:rFonts w:cs="Arial" w:ascii="Arial" w:hAnsi="Arial"/>
          <w:b/>
          <w:bCs/>
          <w:sz w:val="22"/>
          <w:szCs w:val="22"/>
        </w:rPr>
        <w:t xml:space="preserve">Nel </w:t>
      </w:r>
      <w:r>
        <w:rPr>
          <w:rFonts w:cs="Arial" w:ascii="Arial" w:hAnsi="Arial"/>
          <w:b/>
          <w:bCs/>
          <w:sz w:val="22"/>
          <w:szCs w:val="22"/>
          <w:u w:val="single"/>
        </w:rPr>
        <w:t>Parco dello Sport</w:t>
      </w:r>
      <w:r>
        <w:rPr>
          <w:rFonts w:cs="Arial" w:ascii="Arial" w:hAnsi="Arial"/>
          <w:b/>
          <w:bCs/>
          <w:sz w:val="22"/>
          <w:szCs w:val="22"/>
        </w:rPr>
        <w:t xml:space="preserve">, su un’estensione di circa 30 ettari, i lavori sono stati avviati nell’ottobre 2023. Nel febbraio 2025 è stato rinvenuto materiale con sospetta presenza di amianto in alcune aree di scavo; sono attualmente in corso le necessarie verifiche tecniche e gli approfondimenti progettuali per definire la soluzione più idonea, </w:t>
      </w:r>
      <w:r>
        <w:rPr>
          <w:rFonts w:cs="Arial" w:ascii="Arial" w:hAnsi="Arial"/>
          <w:sz w:val="22"/>
          <w:szCs w:val="22"/>
        </w:rPr>
        <w:t xml:space="preserve">da sottoporre alle autorità competenti. Parallelamente è stato </w:t>
      </w:r>
      <w:r>
        <w:rPr>
          <w:rFonts w:cs="Arial" w:ascii="Arial" w:hAnsi="Arial"/>
          <w:b/>
          <w:bCs/>
          <w:sz w:val="22"/>
          <w:szCs w:val="22"/>
        </w:rPr>
        <w:t>avviato un percorso con le Fiamme Oro</w:t>
      </w:r>
      <w:r>
        <w:rPr>
          <w:rFonts w:cs="Arial" w:ascii="Arial" w:hAnsi="Arial"/>
          <w:sz w:val="22"/>
          <w:szCs w:val="22"/>
        </w:rPr>
        <w:t xml:space="preserve"> finalizzato alla futura rifunzionalizzazione e gestione dell’area, garantendone comunque la fruizione da parte della cittadinanza.</w:t>
      </w:r>
    </w:p>
    <w:p>
      <w:pPr>
        <w:pStyle w:val="Normal"/>
        <w:jc w:val="both"/>
        <w:rPr>
          <w:rFonts w:ascii="Arial" w:hAnsi="Arial" w:cs="Arial"/>
          <w:sz w:val="22"/>
          <w:szCs w:val="22"/>
        </w:rPr>
      </w:pPr>
      <w:r>
        <w:rPr>
          <w:rFonts w:cs="Arial" w:ascii="Arial" w:hAnsi="Arial"/>
          <w:sz w:val="22"/>
          <w:szCs w:val="22"/>
        </w:rPr>
        <w:t xml:space="preserve">Per le </w:t>
      </w:r>
      <w:r>
        <w:rPr>
          <w:rFonts w:cs="Arial" w:ascii="Arial" w:hAnsi="Arial"/>
          <w:sz w:val="22"/>
          <w:szCs w:val="22"/>
          <w:u w:val="single"/>
        </w:rPr>
        <w:t>aree fondiarie</w:t>
      </w:r>
      <w:r>
        <w:rPr>
          <w:rFonts w:cs="Arial" w:ascii="Arial" w:hAnsi="Arial"/>
          <w:sz w:val="22"/>
          <w:szCs w:val="22"/>
        </w:rPr>
        <w:t xml:space="preserve"> e per il </w:t>
      </w:r>
      <w:r>
        <w:rPr>
          <w:rFonts w:cs="Arial" w:ascii="Arial" w:hAnsi="Arial"/>
          <w:sz w:val="22"/>
          <w:szCs w:val="22"/>
          <w:u w:val="single"/>
        </w:rPr>
        <w:t>parco urbano</w:t>
      </w:r>
      <w:r>
        <w:rPr>
          <w:rFonts w:cs="Arial" w:ascii="Arial" w:hAnsi="Arial"/>
          <w:sz w:val="22"/>
          <w:szCs w:val="22"/>
        </w:rPr>
        <w:t xml:space="preserve"> è stato aggiudicato nel luglio 2023 l’Accordo Quadro a un RTI guidato da Greenthesis S.p.A., e sono stati redatti i progetti esecutivi di bonifica. Sono stati demoliti i capannoni Morgan ed in corso la realizzazione dell’area unica di cantiere, funzionale alla gestione integrata degli impianti di trattamento. Le tecnologie previste comprendono desorbimento termico, soil washing e bio-phytoremediation, secondo un approccio differenziato in relazione alle caratteristiche dei suoli. È stato inoltre redatto il progetto di demolizione dell’</w:t>
      </w:r>
      <w:r>
        <w:rPr>
          <w:rFonts w:cs="Arial" w:ascii="Arial" w:hAnsi="Arial"/>
          <w:sz w:val="22"/>
          <w:szCs w:val="22"/>
          <w:u w:val="single"/>
        </w:rPr>
        <w:t>ex Cementir</w:t>
      </w:r>
      <w:r>
        <w:rPr>
          <w:rFonts w:cs="Arial" w:ascii="Arial" w:hAnsi="Arial"/>
          <w:sz w:val="22"/>
          <w:szCs w:val="22"/>
        </w:rPr>
        <w:t>.</w:t>
      </w:r>
    </w:p>
    <w:p>
      <w:pPr>
        <w:pStyle w:val="Normal"/>
        <w:jc w:val="both"/>
        <w:rPr>
          <w:rFonts w:ascii="Arial" w:hAnsi="Arial" w:cs="Arial"/>
          <w:sz w:val="22"/>
          <w:szCs w:val="22"/>
        </w:rPr>
      </w:pPr>
      <w:r>
        <w:rPr>
          <w:rFonts w:cs="Arial" w:ascii="Arial" w:hAnsi="Arial"/>
          <w:sz w:val="22"/>
          <w:szCs w:val="22"/>
        </w:rPr>
        <w:t xml:space="preserve">Sul versante infrastrutturale, con decreto del gennaio 2025 è stato approvato il progetto definitivo delle infrastrutture primarie – idriche, fognarie, viarie e di telecomunicazione – a valle della conclusione positiva della procedura di Valutazione di Impatto Ambientale e della Conferenza dei Servizi. </w:t>
      </w:r>
      <w:r>
        <w:rPr>
          <w:rFonts w:cs="Arial" w:ascii="Arial" w:hAnsi="Arial"/>
          <w:b/>
          <w:bCs/>
          <w:sz w:val="22"/>
          <w:szCs w:val="22"/>
        </w:rPr>
        <w:t>Il progetto comprende interventi strutturali di particolare rilevanza, tra cui il sistema fognario integrato e l’adeguamento funzionale dell’Arena Sant’Antonio</w:t>
      </w:r>
      <w:r>
        <w:rPr>
          <w:rFonts w:cs="Arial" w:ascii="Arial" w:hAnsi="Arial"/>
          <w:sz w:val="22"/>
          <w:szCs w:val="22"/>
        </w:rPr>
        <w:t>.</w:t>
      </w:r>
    </w:p>
    <w:p>
      <w:pPr>
        <w:pStyle w:val="Normal"/>
        <w:jc w:val="both"/>
        <w:rPr>
          <w:rFonts w:ascii="Arial" w:hAnsi="Arial" w:cs="Arial"/>
          <w:sz w:val="22"/>
          <w:szCs w:val="22"/>
        </w:rPr>
      </w:pPr>
      <w:r>
        <w:rPr>
          <w:rFonts w:cs="Arial" w:ascii="Arial" w:hAnsi="Arial"/>
          <w:sz w:val="22"/>
          <w:szCs w:val="22"/>
        </w:rPr>
        <w:t xml:space="preserve">Per quanto concerne la </w:t>
      </w:r>
      <w:r>
        <w:rPr>
          <w:rFonts w:cs="Arial" w:ascii="Arial" w:hAnsi="Arial"/>
          <w:b/>
          <w:bCs/>
          <w:sz w:val="22"/>
          <w:szCs w:val="22"/>
        </w:rPr>
        <w:t>rigenerazione urbana</w:t>
      </w:r>
      <w:r>
        <w:rPr>
          <w:rFonts w:cs="Arial" w:ascii="Arial" w:hAnsi="Arial"/>
          <w:sz w:val="22"/>
          <w:szCs w:val="22"/>
        </w:rPr>
        <w:t>, sono stati redatti i Progetti di Fattibilità Tecnico-Economica del Waterfront, del Parco urbano e del Borgo Coroglio. Il PFTE del Parco urbano, completato a fine 2024, prevede una articolazione in ambiti funzionali – parco naturale, parco produttivo e parco urbano – la cui realizzazione procederà in modo progressivo, in coerenza con l’avanzamento delle bonifiche.</w:t>
      </w:r>
    </w:p>
    <w:p>
      <w:pPr>
        <w:pStyle w:val="Normal"/>
        <w:jc w:val="both"/>
        <w:rPr>
          <w:rFonts w:ascii="Arial" w:hAnsi="Arial" w:cs="Arial"/>
          <w:sz w:val="22"/>
          <w:szCs w:val="22"/>
        </w:rPr>
      </w:pPr>
      <w:r>
        <w:rPr>
          <w:rFonts w:cs="Arial" w:ascii="Arial" w:hAnsi="Arial"/>
          <w:sz w:val="22"/>
          <w:szCs w:val="22"/>
        </w:rPr>
        <w:t xml:space="preserve">Il secondo asse strategico riguarda il </w:t>
      </w:r>
      <w:r>
        <w:rPr>
          <w:rFonts w:cs="Arial" w:ascii="Arial" w:hAnsi="Arial"/>
          <w:b/>
          <w:bCs/>
          <w:sz w:val="22"/>
          <w:szCs w:val="22"/>
        </w:rPr>
        <w:t>risanamento marino</w:t>
      </w:r>
      <w:r>
        <w:rPr>
          <w:rFonts w:cs="Arial" w:ascii="Arial" w:hAnsi="Arial"/>
          <w:sz w:val="22"/>
          <w:szCs w:val="22"/>
        </w:rPr>
        <w:t>.</w:t>
      </w:r>
    </w:p>
    <w:p>
      <w:pPr>
        <w:pStyle w:val="Normal"/>
        <w:jc w:val="both"/>
        <w:rPr>
          <w:rFonts w:ascii="Arial" w:hAnsi="Arial" w:cs="Arial"/>
          <w:sz w:val="22"/>
          <w:szCs w:val="22"/>
        </w:rPr>
      </w:pPr>
      <w:r>
        <w:rPr>
          <w:rFonts w:cs="Arial" w:ascii="Arial" w:hAnsi="Arial"/>
          <w:b/>
          <w:bCs/>
          <w:sz w:val="22"/>
          <w:szCs w:val="22"/>
        </w:rPr>
        <w:t>A partire dal 2021 è stato elaborato il progetto definitivo di risanamento marino, un progetto molto complesso,</w:t>
      </w:r>
      <w:r>
        <w:rPr>
          <w:rFonts w:cs="Arial" w:ascii="Arial" w:hAnsi="Arial"/>
          <w:sz w:val="22"/>
          <w:szCs w:val="22"/>
        </w:rPr>
        <w:t xml:space="preserve"> da un punto di vista tecnico e modellistico, affidato al raggruppamento guidato da Proger S.p.A.. </w:t>
      </w:r>
      <w:r>
        <w:rPr>
          <w:rFonts w:cs="Arial" w:ascii="Arial" w:hAnsi="Arial"/>
          <w:b/>
          <w:bCs/>
          <w:sz w:val="22"/>
          <w:szCs w:val="22"/>
        </w:rPr>
        <w:t>Il progetto, trasmesso nel 2023 alla Commissione VIA, prevedeva inizialmente la rimozione integrale della colmata, la bonifica degli arenili e il risanamento dei sedimenti. Nel corso dell’istruttoria sono emerse criticità connesse agli impatti ambientali e ai tempi di realizzazione</w:t>
      </w:r>
      <w:r>
        <w:rPr>
          <w:rFonts w:cs="Arial" w:ascii="Arial" w:hAnsi="Arial"/>
          <w:sz w:val="22"/>
          <w:szCs w:val="22"/>
        </w:rPr>
        <w:t xml:space="preserve"> si è quindi proceduto a sottoporre alla Cabina di Regia ipotesi alternative per conseguire lo stesso obiettivo con minori impatti, anche alla luce del mutato quadro normativo introdotto dal D.L. 60/2024.</w:t>
      </w:r>
    </w:p>
    <w:p>
      <w:pPr>
        <w:pStyle w:val="Normal"/>
        <w:jc w:val="both"/>
        <w:rPr>
          <w:rFonts w:ascii="Arial" w:hAnsi="Arial" w:cs="Arial"/>
          <w:sz w:val="22"/>
          <w:szCs w:val="22"/>
        </w:rPr>
      </w:pPr>
      <w:r>
        <w:rPr>
          <w:rFonts w:cs="Arial" w:ascii="Arial" w:hAnsi="Arial"/>
          <w:sz w:val="22"/>
          <w:szCs w:val="22"/>
        </w:rPr>
        <w:t>La soluzione oggi di riferimento per garantire la balneabilità prevede la permanenza della colmata, la messa in sicurezza permanente mediante diaframmi e capping, il dragaggio dei fondali, la realizzazione di opere di protezione costiera – pennelli e barriere soffolte – nonché il ripascimento degli arenili.</w:t>
      </w:r>
    </w:p>
    <w:p>
      <w:pPr>
        <w:pStyle w:val="Normal"/>
        <w:jc w:val="both"/>
        <w:rPr>
          <w:rFonts w:ascii="Arial" w:hAnsi="Arial" w:cs="Arial"/>
          <w:sz w:val="22"/>
          <w:szCs w:val="22"/>
        </w:rPr>
      </w:pPr>
      <w:r>
        <w:rPr>
          <w:rFonts w:cs="Arial" w:ascii="Arial" w:hAnsi="Arial"/>
          <w:sz w:val="22"/>
          <w:szCs w:val="22"/>
        </w:rPr>
        <w:t>L’adeguamento progettuale ha reso necessario integrare la procedura VIA con la VAS relativa alle modifiche dello Stralcio Urbanistico. La procedura è stata temporaneamente sospesa per consentire il coordinamento tra gli interventi di risanamento e quelli infrastrutturali funzionali all’America’s Cup, evitando sovrapposizioni istruttorie e assicurando la coerenza complessiva del programma. Essa sarà riattivata sulla base di un progetto aggiornato che tenga conto delle opere già anticipate.</w:t>
      </w:r>
    </w:p>
    <w:p>
      <w:pPr>
        <w:pStyle w:val="Normal"/>
        <w:jc w:val="both"/>
        <w:rPr>
          <w:rFonts w:ascii="Arial" w:hAnsi="Arial" w:cs="Arial"/>
          <w:b/>
          <w:b/>
          <w:bCs/>
          <w:sz w:val="22"/>
          <w:szCs w:val="22"/>
        </w:rPr>
      </w:pPr>
      <w:r>
        <w:rPr>
          <w:rFonts w:cs="Arial" w:ascii="Arial" w:hAnsi="Arial"/>
          <w:sz w:val="22"/>
          <w:szCs w:val="22"/>
        </w:rPr>
        <w:t xml:space="preserve">Le lavorazioni oggi in corso – dragaggi, opere di protezione, messa in sicurezza della colmata – si collocano all’interno di questo quadro progettuale e ne anticipano alcune fasi, senza modificarne gli obiettivi. </w:t>
      </w:r>
      <w:r>
        <w:rPr>
          <w:rFonts w:cs="Arial" w:ascii="Arial" w:hAnsi="Arial"/>
          <w:b/>
          <w:bCs/>
          <w:sz w:val="22"/>
          <w:szCs w:val="22"/>
        </w:rPr>
        <w:t xml:space="preserve">E’ opportuno ricordare che la colmata, in passato, è stata utilizzata per grandi concerti, sotto altre giunte comunali. Un esempio per tutti, dal 1997 al 1999, numerosi  concerti tra cui David Bowie, Vasco Rossi, Edoardo Bennato  per il Neapolis Rock Festival. </w:t>
      </w:r>
    </w:p>
    <w:p>
      <w:pPr>
        <w:pStyle w:val="Normal"/>
        <w:jc w:val="both"/>
        <w:rPr>
          <w:rFonts w:ascii="Arial" w:hAnsi="Arial" w:cs="Arial"/>
          <w:sz w:val="22"/>
          <w:szCs w:val="22"/>
        </w:rPr>
      </w:pPr>
      <w:r>
        <w:rPr>
          <w:rFonts w:cs="Arial" w:ascii="Arial" w:hAnsi="Arial"/>
          <w:sz w:val="22"/>
          <w:szCs w:val="22"/>
        </w:rPr>
        <w:t>In sintesi, i punti fermi del Programma rimangono:</w:t>
      </w:r>
    </w:p>
    <w:p>
      <w:pPr>
        <w:pStyle w:val="ListParagraph"/>
        <w:numPr>
          <w:ilvl w:val="0"/>
          <w:numId w:val="2"/>
        </w:numPr>
        <w:jc w:val="both"/>
        <w:rPr>
          <w:rFonts w:ascii="Arial" w:hAnsi="Arial" w:cs="Arial"/>
          <w:sz w:val="22"/>
          <w:szCs w:val="22"/>
        </w:rPr>
      </w:pPr>
      <w:r>
        <w:rPr>
          <w:rFonts w:cs="Arial" w:ascii="Arial" w:hAnsi="Arial"/>
          <w:sz w:val="22"/>
          <w:szCs w:val="22"/>
        </w:rPr>
        <w:t>il risanamento ambientale dei suoli, dei fondali e degli arenili;</w:t>
      </w:r>
    </w:p>
    <w:p>
      <w:pPr>
        <w:pStyle w:val="ListParagraph"/>
        <w:numPr>
          <w:ilvl w:val="0"/>
          <w:numId w:val="2"/>
        </w:numPr>
        <w:jc w:val="both"/>
        <w:rPr>
          <w:rFonts w:ascii="Arial" w:hAnsi="Arial" w:cs="Arial"/>
          <w:sz w:val="22"/>
          <w:szCs w:val="22"/>
        </w:rPr>
      </w:pPr>
      <w:r>
        <w:rPr>
          <w:rFonts w:cs="Arial" w:ascii="Arial" w:hAnsi="Arial"/>
          <w:sz w:val="22"/>
          <w:szCs w:val="22"/>
        </w:rPr>
        <w:t>la realizzazione progressiva del parco urbano e della spiaggia pubblica in relazione all’avanzamento della bonifica;</w:t>
      </w:r>
    </w:p>
    <w:p>
      <w:pPr>
        <w:pStyle w:val="ListParagraph"/>
        <w:numPr>
          <w:ilvl w:val="0"/>
          <w:numId w:val="2"/>
        </w:numPr>
        <w:jc w:val="both"/>
        <w:rPr>
          <w:rFonts w:ascii="Arial" w:hAnsi="Arial" w:cs="Arial"/>
          <w:sz w:val="22"/>
          <w:szCs w:val="22"/>
        </w:rPr>
      </w:pPr>
      <w:r>
        <w:rPr>
          <w:rFonts w:cs="Arial" w:ascii="Arial" w:hAnsi="Arial"/>
          <w:sz w:val="22"/>
          <w:szCs w:val="22"/>
        </w:rPr>
        <w:t>l’adeguamento delle infrastrutture primarie necessarie al funzionamento dell’intero comprensorio.</w:t>
      </w:r>
    </w:p>
    <w:p>
      <w:pPr>
        <w:pStyle w:val="Normal"/>
        <w:jc w:val="both"/>
        <w:rPr>
          <w:rFonts w:ascii="Arial" w:hAnsi="Arial" w:cs="Arial"/>
          <w:b/>
          <w:b/>
          <w:bCs/>
          <w:sz w:val="22"/>
          <w:szCs w:val="22"/>
        </w:rPr>
      </w:pPr>
      <w:r>
        <w:rPr>
          <w:rFonts w:cs="Arial" w:ascii="Arial" w:hAnsi="Arial"/>
          <w:b/>
          <w:bCs/>
          <w:sz w:val="22"/>
          <w:szCs w:val="22"/>
        </w:rPr>
        <w:t>L’obiettivo resta quello definito nel 2019: un sistema integrato composto da mare balneabile, parco urbano e litorale pienamente accessibile alla collettività.</w:t>
      </w:r>
    </w:p>
    <w:p>
      <w:pPr>
        <w:pStyle w:val="Titolo1"/>
        <w:rPr/>
      </w:pPr>
      <w:bookmarkStart w:id="5" w:name="_Toc223095546"/>
      <w:r>
        <w:rPr/>
        <w:t xml:space="preserve">3. </w:t>
        <w:tab/>
        <w:t>Il progetto AC38: cosa prevede a mare e a terra</w:t>
      </w:r>
      <w:bookmarkEnd w:id="5"/>
    </w:p>
    <w:p>
      <w:pPr>
        <w:pStyle w:val="Normal"/>
        <w:jc w:val="both"/>
        <w:rPr>
          <w:rFonts w:ascii="Arial" w:hAnsi="Arial" w:cs="Arial"/>
          <w:sz w:val="22"/>
          <w:szCs w:val="22"/>
        </w:rPr>
      </w:pPr>
      <w:r>
        <w:rPr>
          <w:rFonts w:cs="Arial" w:ascii="Arial" w:hAnsi="Arial"/>
          <w:sz w:val="22"/>
          <w:szCs w:val="22"/>
        </w:rPr>
        <w:t>Con l’assegnazione a Napoli, nel maggio 2025, della 38ª America’s Cup (AC38), l’area di Bagnoli-Coroglio è stata individuata quale sede delle infrastrutture funzionali allo svolgimento dell’evento.</w:t>
      </w:r>
    </w:p>
    <w:p>
      <w:pPr>
        <w:pStyle w:val="Normal"/>
        <w:jc w:val="both"/>
        <w:rPr>
          <w:rFonts w:ascii="Arial" w:hAnsi="Arial" w:cs="Arial"/>
          <w:sz w:val="22"/>
          <w:szCs w:val="22"/>
        </w:rPr>
      </w:pPr>
      <w:r>
        <w:rPr>
          <w:rFonts w:cs="Arial" w:ascii="Arial" w:hAnsi="Arial"/>
          <w:sz w:val="22"/>
          <w:szCs w:val="22"/>
        </w:rPr>
        <w:t>Con il D.L. n. 96 del giugno 2025 sono stati introdotti strumenti straordinari per garantire il rispetto delle tempistiche, nel quadro delle competenze già attribuite al Commissario Straordinario ai sensi dell’art. 33 del D.L. 133/2014.</w:t>
      </w:r>
    </w:p>
    <w:p>
      <w:pPr>
        <w:pStyle w:val="Normal"/>
        <w:jc w:val="both"/>
        <w:rPr>
          <w:rFonts w:ascii="Arial" w:hAnsi="Arial" w:cs="Arial"/>
          <w:sz w:val="22"/>
          <w:szCs w:val="22"/>
        </w:rPr>
      </w:pPr>
      <w:r>
        <w:rPr>
          <w:rFonts w:cs="Arial" w:ascii="Arial" w:hAnsi="Arial"/>
          <w:sz w:val="22"/>
          <w:szCs w:val="22"/>
        </w:rPr>
        <w:t>Il 4 agosto 2025, a seguito di conversione del citato D.L., la Cabina di Regia ha approvato il Programma degli Interventi Infrastrutturali per AC38 – Napoli 2027; il 7 agosto è stata avviata la verifica di assoggettabilità a VIA, conclusasi il 21 ottobre 2025 con esclusione dalla procedura, svolto in tempi rapidi.</w:t>
      </w:r>
    </w:p>
    <w:p>
      <w:pPr>
        <w:pStyle w:val="Normal"/>
        <w:jc w:val="both"/>
        <w:rPr>
          <w:rFonts w:ascii="Arial" w:hAnsi="Arial" w:cs="Arial"/>
          <w:sz w:val="22"/>
          <w:szCs w:val="22"/>
        </w:rPr>
      </w:pPr>
      <w:r>
        <w:rPr>
          <w:rFonts w:cs="Arial" w:ascii="Arial" w:hAnsi="Arial"/>
          <w:sz w:val="22"/>
          <w:szCs w:val="22"/>
        </w:rPr>
        <w:t>Da dicembre 2025 i cantieri sono pienamente operativi per la realizzazione del bacino di calma, per la messa in sicurezza della colmata e per l’implementazione delle reti dei sottoservizi necessarie alla Technical Base Area.</w:t>
      </w:r>
    </w:p>
    <w:p>
      <w:pPr>
        <w:pStyle w:val="Normal"/>
        <w:jc w:val="both"/>
        <w:rPr>
          <w:rFonts w:ascii="Arial" w:hAnsi="Arial" w:cs="Arial"/>
          <w:sz w:val="22"/>
          <w:szCs w:val="22"/>
        </w:rPr>
      </w:pPr>
      <w:r>
        <w:rPr>
          <w:rFonts w:cs="Arial" w:ascii="Arial" w:hAnsi="Arial"/>
          <w:sz w:val="22"/>
          <w:szCs w:val="22"/>
        </w:rPr>
        <w:t>L’intervento connesso all’AC38 non modifica le scelte strategiche già assunte nel PRARU, ma ne accelera l’attuazione. Le opere oggi in corso corrispondono a interventi di risanamento marino già programmati, la cui realizzazione era prevista nel cronoprogramma al 2034.</w:t>
      </w:r>
    </w:p>
    <w:p>
      <w:pPr>
        <w:pStyle w:val="Normal"/>
        <w:jc w:val="both"/>
        <w:rPr>
          <w:rFonts w:ascii="Arial" w:hAnsi="Arial" w:cs="Arial"/>
          <w:b/>
          <w:b/>
          <w:bCs/>
          <w:sz w:val="22"/>
          <w:szCs w:val="22"/>
        </w:rPr>
      </w:pPr>
      <w:r>
        <w:rPr>
          <w:rFonts w:cs="Arial" w:ascii="Arial" w:hAnsi="Arial"/>
          <w:b/>
          <w:bCs/>
          <w:sz w:val="22"/>
          <w:szCs w:val="22"/>
        </w:rPr>
        <w:t>La permanenza della colmata non è una decisione assunta in funzione dell’evento: era stata definita e condivisa nell’aprile 2024 ed esaminata in sede di Cabina di Regia, prima della candidatura di Napoli.</w:t>
      </w:r>
    </w:p>
    <w:p>
      <w:pPr>
        <w:pStyle w:val="Normal"/>
        <w:jc w:val="both"/>
        <w:rPr>
          <w:rFonts w:ascii="Arial" w:hAnsi="Arial" w:cs="Arial"/>
          <w:sz w:val="22"/>
          <w:szCs w:val="22"/>
        </w:rPr>
      </w:pPr>
      <w:r>
        <w:rPr>
          <w:rFonts w:cs="Arial" w:ascii="Arial" w:hAnsi="Arial"/>
          <w:sz w:val="22"/>
          <w:szCs w:val="22"/>
        </w:rPr>
        <w:t>Gli interventi previsti in relazione all’AC38 riguardano esclusivamente il mantenimento e la messa in sicurezza della colmata, mediante capping, nonché il risanamento ambientale dell’area marina, attraverso:</w:t>
      </w:r>
    </w:p>
    <w:p>
      <w:pPr>
        <w:pStyle w:val="ListParagraph"/>
        <w:numPr>
          <w:ilvl w:val="0"/>
          <w:numId w:val="2"/>
        </w:numPr>
        <w:jc w:val="both"/>
        <w:rPr>
          <w:rFonts w:ascii="Arial" w:hAnsi="Arial" w:cs="Arial"/>
          <w:sz w:val="22"/>
          <w:szCs w:val="22"/>
        </w:rPr>
      </w:pPr>
      <w:r>
        <w:rPr>
          <w:rFonts w:cs="Arial" w:ascii="Arial" w:hAnsi="Arial"/>
          <w:sz w:val="22"/>
          <w:szCs w:val="22"/>
        </w:rPr>
        <w:t>il dragaggio dei fondali;</w:t>
      </w:r>
    </w:p>
    <w:p>
      <w:pPr>
        <w:pStyle w:val="ListParagraph"/>
        <w:numPr>
          <w:ilvl w:val="0"/>
          <w:numId w:val="2"/>
        </w:numPr>
        <w:jc w:val="both"/>
        <w:rPr>
          <w:rFonts w:ascii="Arial" w:hAnsi="Arial" w:cs="Arial"/>
          <w:sz w:val="22"/>
          <w:szCs w:val="22"/>
        </w:rPr>
      </w:pPr>
      <w:r>
        <w:rPr>
          <w:rFonts w:cs="Arial" w:ascii="Arial" w:hAnsi="Arial"/>
          <w:sz w:val="22"/>
          <w:szCs w:val="22"/>
        </w:rPr>
        <w:t>la realizzazione di una scogliera di protezione, che nella fase dell’evento è prevista emergente, ma che al termine dell’AC38 verrà trasformata in scogliera soffolta;</w:t>
      </w:r>
    </w:p>
    <w:p>
      <w:pPr>
        <w:pStyle w:val="ListParagraph"/>
        <w:numPr>
          <w:ilvl w:val="0"/>
          <w:numId w:val="2"/>
        </w:numPr>
        <w:jc w:val="both"/>
        <w:rPr>
          <w:rFonts w:ascii="Arial" w:hAnsi="Arial" w:cs="Arial"/>
          <w:sz w:val="22"/>
          <w:szCs w:val="22"/>
        </w:rPr>
      </w:pPr>
      <w:r>
        <w:rPr>
          <w:rFonts w:cs="Arial" w:ascii="Arial" w:hAnsi="Arial"/>
          <w:sz w:val="22"/>
          <w:szCs w:val="22"/>
        </w:rPr>
        <w:t>i massi rimossi saranno riutilizzati per il prolungamento della scogliera a protezione degli arenili, in coerenza con il progetto originario;</w:t>
      </w:r>
    </w:p>
    <w:p>
      <w:pPr>
        <w:pStyle w:val="ListParagraph"/>
        <w:numPr>
          <w:ilvl w:val="0"/>
          <w:numId w:val="2"/>
        </w:numPr>
        <w:jc w:val="both"/>
        <w:rPr>
          <w:rFonts w:ascii="Arial" w:hAnsi="Arial" w:cs="Arial"/>
          <w:sz w:val="22"/>
          <w:szCs w:val="22"/>
        </w:rPr>
      </w:pPr>
      <w:r>
        <w:rPr>
          <w:rFonts w:cs="Arial" w:ascii="Arial" w:hAnsi="Arial"/>
          <w:sz w:val="22"/>
          <w:szCs w:val="22"/>
        </w:rPr>
        <w:t>la realizzazione di pennelli trasversali, finalizzati alla stabilizzazione della linea di riva e alla protezione dei sedimenti bonificati.</w:t>
      </w:r>
    </w:p>
    <w:p>
      <w:pPr>
        <w:pStyle w:val="Normal"/>
        <w:jc w:val="both"/>
        <w:rPr>
          <w:rFonts w:ascii="Arial" w:hAnsi="Arial" w:cs="Arial"/>
          <w:sz w:val="22"/>
          <w:szCs w:val="22"/>
        </w:rPr>
      </w:pPr>
      <w:r>
        <w:rPr>
          <w:rFonts w:cs="Arial" w:ascii="Arial" w:hAnsi="Arial"/>
          <w:sz w:val="22"/>
          <w:szCs w:val="22"/>
        </w:rPr>
        <w:t>Per completare il percorso di risanamento ambientale e rendere il mare pienamente balneabile, sono previste ulteriori attività, già programmate:</w:t>
      </w:r>
    </w:p>
    <w:p>
      <w:pPr>
        <w:pStyle w:val="ListParagraph"/>
        <w:numPr>
          <w:ilvl w:val="0"/>
          <w:numId w:val="2"/>
        </w:numPr>
        <w:jc w:val="both"/>
        <w:rPr>
          <w:rFonts w:ascii="Arial" w:hAnsi="Arial" w:cs="Arial"/>
          <w:sz w:val="22"/>
          <w:szCs w:val="22"/>
        </w:rPr>
      </w:pPr>
      <w:r>
        <w:rPr>
          <w:rFonts w:cs="Arial" w:ascii="Arial" w:hAnsi="Arial"/>
          <w:sz w:val="22"/>
          <w:szCs w:val="22"/>
        </w:rPr>
        <w:t>la palancolatura perimetrale della colmata;</w:t>
      </w:r>
    </w:p>
    <w:p>
      <w:pPr>
        <w:pStyle w:val="ListParagraph"/>
        <w:numPr>
          <w:ilvl w:val="0"/>
          <w:numId w:val="2"/>
        </w:numPr>
        <w:jc w:val="both"/>
        <w:rPr>
          <w:rFonts w:ascii="Arial" w:hAnsi="Arial" w:cs="Arial"/>
          <w:sz w:val="22"/>
          <w:szCs w:val="22"/>
        </w:rPr>
      </w:pPr>
      <w:r>
        <w:rPr>
          <w:rFonts w:cs="Arial" w:ascii="Arial" w:hAnsi="Arial"/>
          <w:sz w:val="22"/>
          <w:szCs w:val="22"/>
        </w:rPr>
        <w:t>il capping dei fondali;</w:t>
      </w:r>
    </w:p>
    <w:p>
      <w:pPr>
        <w:pStyle w:val="ListParagraph"/>
        <w:numPr>
          <w:ilvl w:val="0"/>
          <w:numId w:val="2"/>
        </w:numPr>
        <w:jc w:val="both"/>
        <w:rPr>
          <w:rFonts w:ascii="Arial" w:hAnsi="Arial" w:cs="Arial"/>
          <w:sz w:val="22"/>
          <w:szCs w:val="22"/>
        </w:rPr>
      </w:pPr>
      <w:r>
        <w:rPr>
          <w:rFonts w:cs="Arial" w:ascii="Arial" w:hAnsi="Arial"/>
          <w:sz w:val="22"/>
          <w:szCs w:val="22"/>
        </w:rPr>
        <w:t>il prolungamento della scogliera a protezione degli arenili;</w:t>
      </w:r>
    </w:p>
    <w:p>
      <w:pPr>
        <w:pStyle w:val="ListParagraph"/>
        <w:numPr>
          <w:ilvl w:val="0"/>
          <w:numId w:val="2"/>
        </w:numPr>
        <w:jc w:val="both"/>
        <w:rPr>
          <w:rFonts w:ascii="Arial" w:hAnsi="Arial" w:cs="Arial"/>
          <w:sz w:val="22"/>
          <w:szCs w:val="22"/>
        </w:rPr>
      </w:pPr>
      <w:r>
        <w:rPr>
          <w:rFonts w:cs="Arial" w:ascii="Arial" w:hAnsi="Arial"/>
          <w:sz w:val="22"/>
          <w:szCs w:val="22"/>
        </w:rPr>
        <w:t>la bonifica degli arenili e il successivo ripascimento.</w:t>
      </w:r>
    </w:p>
    <w:p>
      <w:pPr>
        <w:pStyle w:val="Normal"/>
        <w:jc w:val="both"/>
        <w:rPr>
          <w:rFonts w:ascii="Arial" w:hAnsi="Arial" w:cs="Arial"/>
          <w:b/>
          <w:b/>
          <w:bCs/>
          <w:sz w:val="22"/>
          <w:szCs w:val="22"/>
        </w:rPr>
      </w:pPr>
      <w:r>
        <w:rPr>
          <w:rFonts w:cs="Arial" w:ascii="Arial" w:hAnsi="Arial"/>
          <w:b/>
          <w:bCs/>
          <w:sz w:val="22"/>
          <w:szCs w:val="22"/>
        </w:rPr>
        <w:t>Le opere strettamente funzionali all’evento — hangar, pontili galleggianti, strutture di servizio e allestimenti — saranno finanziate e realizzate da Sport e Salute e hanno carattere temporaneo e reversibile.</w:t>
      </w:r>
    </w:p>
    <w:p>
      <w:pPr>
        <w:pStyle w:val="Normal"/>
        <w:jc w:val="both"/>
        <w:rPr>
          <w:rFonts w:ascii="Arial" w:hAnsi="Arial" w:cs="Arial"/>
          <w:b/>
          <w:b/>
          <w:bCs/>
          <w:sz w:val="22"/>
          <w:szCs w:val="22"/>
        </w:rPr>
      </w:pPr>
      <w:r>
        <w:rPr>
          <w:rFonts w:cs="Arial" w:ascii="Arial" w:hAnsi="Arial"/>
          <w:b/>
          <w:bCs/>
          <w:sz w:val="22"/>
          <w:szCs w:val="22"/>
        </w:rPr>
        <w:t>Per rafforzare le garanzie in materia di sicurezza sul lavoro e sulla trasparenza e legalità degli appalti è in via di sottoscrizione il Protocollo sulla Legalità con la Prefettura di Napoli.  Inoltre, per quanto riguarda l’impegno all’assunzione di soggetti svantaggiati del territorio è stato sottoscritta una Dichiarazione di Intenti con il R.T.I. Greenthesis S.p.A. competente per le opere di bonifica a terra.</w:t>
      </w:r>
    </w:p>
    <w:p>
      <w:pPr>
        <w:pStyle w:val="Normal"/>
        <w:jc w:val="both"/>
        <w:rPr>
          <w:rFonts w:ascii="Arial" w:hAnsi="Arial" w:cs="Arial"/>
          <w:sz w:val="22"/>
          <w:szCs w:val="22"/>
        </w:rPr>
      </w:pPr>
      <w:r>
        <w:rPr>
          <w:rFonts w:cs="Arial" w:ascii="Arial" w:hAnsi="Arial"/>
          <w:sz w:val="22"/>
          <w:szCs w:val="22"/>
        </w:rPr>
        <w:t>Conclusa l’America’s Cup, la colmata sarà destinata a balneazione, sport e tempo libero, attraverso un progetto dedicato che potrà prevedere anche la conservazione del Pontile Sud e che seguirà le ordinarie procedure di approvazione previste dalla normativa vigente.</w:t>
      </w:r>
    </w:p>
    <w:p>
      <w:pPr>
        <w:pStyle w:val="Normal"/>
        <w:jc w:val="both"/>
        <w:rPr>
          <w:rFonts w:ascii="Arial" w:hAnsi="Arial" w:cs="Arial"/>
        </w:rPr>
      </w:pPr>
      <w:r>
        <w:rPr>
          <w:rFonts w:cs="Arial" w:ascii="Arial" w:hAnsi="Arial"/>
        </w:rPr>
      </w:r>
    </w:p>
    <w:p>
      <w:pPr>
        <w:pStyle w:val="Titolo1"/>
        <w:rPr/>
      </w:pPr>
      <w:bookmarkStart w:id="6" w:name="_Toc223095547"/>
      <w:r>
        <w:rPr/>
        <w:t xml:space="preserve">4. </w:t>
        <w:tab/>
        <w:t>Il futuro della colmata dopo l’America’s Cup</w:t>
      </w:r>
      <w:bookmarkEnd w:id="6"/>
    </w:p>
    <w:p>
      <w:pPr>
        <w:pStyle w:val="Normal"/>
        <w:jc w:val="both"/>
        <w:rPr>
          <w:rFonts w:ascii="Arial" w:hAnsi="Arial" w:cs="Arial"/>
          <w:sz w:val="22"/>
          <w:szCs w:val="22"/>
        </w:rPr>
      </w:pPr>
      <w:r>
        <w:rPr>
          <w:rFonts w:cs="Arial" w:ascii="Arial" w:hAnsi="Arial"/>
          <w:b/>
          <w:bCs/>
          <w:sz w:val="22"/>
          <w:szCs w:val="22"/>
        </w:rPr>
        <w:t>Conclusa l’America’s Cup, la colmata</w:t>
      </w:r>
      <w:r>
        <w:rPr>
          <w:rFonts w:cs="Arial" w:ascii="Arial" w:hAnsi="Arial"/>
          <w:sz w:val="22"/>
          <w:szCs w:val="22"/>
        </w:rPr>
        <w:t xml:space="preserve"> non resterà uno spazio tecnico né un’area residuale.</w:t>
        <w:br/>
        <w:t xml:space="preserve">L’indirizzo è chiaro: </w:t>
      </w:r>
      <w:r>
        <w:rPr>
          <w:rFonts w:cs="Arial" w:ascii="Arial" w:hAnsi="Arial"/>
          <w:b/>
          <w:bCs/>
          <w:sz w:val="22"/>
          <w:szCs w:val="22"/>
        </w:rPr>
        <w:t>dovrà diventare una grande terrazza a mare, destinata alla b</w:t>
      </w:r>
      <w:r>
        <w:rPr>
          <w:rFonts w:cs="Arial" w:ascii="Arial" w:hAnsi="Arial"/>
          <w:sz w:val="22"/>
          <w:szCs w:val="22"/>
        </w:rPr>
        <w:t xml:space="preserve">alneazione, allo sport e al tempo libero, in coerenza con la vocazione naturale dell’area. </w:t>
      </w:r>
    </w:p>
    <w:p>
      <w:pPr>
        <w:pStyle w:val="Normal"/>
        <w:jc w:val="both"/>
        <w:rPr>
          <w:rFonts w:ascii="Arial" w:hAnsi="Arial" w:cs="Arial"/>
          <w:sz w:val="22"/>
          <w:szCs w:val="22"/>
        </w:rPr>
      </w:pPr>
      <w:r>
        <w:rPr>
          <w:rFonts w:cs="Arial" w:ascii="Arial" w:hAnsi="Arial"/>
          <w:sz w:val="22"/>
          <w:szCs w:val="22"/>
        </w:rPr>
        <w:t>L’evento sportivo non determina l’assetto definitivo della colmata. Al contrario, ne anticipa la messa in sicurezza e ne rende possibile una fruizione futura compatibile con il risanamento ambientale.</w:t>
      </w:r>
    </w:p>
    <w:p>
      <w:pPr>
        <w:pStyle w:val="Normal"/>
        <w:jc w:val="both"/>
        <w:rPr>
          <w:rFonts w:ascii="Arial" w:hAnsi="Arial" w:cs="Arial"/>
          <w:sz w:val="22"/>
          <w:szCs w:val="22"/>
        </w:rPr>
      </w:pPr>
      <w:r>
        <w:rPr>
          <w:rFonts w:cs="Arial" w:ascii="Arial" w:hAnsi="Arial"/>
          <w:b/>
          <w:bCs/>
          <w:sz w:val="22"/>
          <w:szCs w:val="22"/>
        </w:rPr>
        <w:t>La configurazione finale dell’area</w:t>
      </w:r>
      <w:r>
        <w:rPr>
          <w:rFonts w:cs="Arial" w:ascii="Arial" w:hAnsi="Arial"/>
          <w:sz w:val="22"/>
          <w:szCs w:val="22"/>
        </w:rPr>
        <w:t xml:space="preserve"> – compresa la possibile conservazione del Pontile Sud e la definizione delle funzioni pubbliche – </w:t>
      </w:r>
      <w:r>
        <w:rPr>
          <w:rFonts w:cs="Arial" w:ascii="Arial" w:hAnsi="Arial"/>
          <w:b/>
          <w:bCs/>
          <w:sz w:val="22"/>
          <w:szCs w:val="22"/>
        </w:rPr>
        <w:t>sarà oggetto di un progetto dedicato,</w:t>
      </w:r>
      <w:r>
        <w:rPr>
          <w:rFonts w:cs="Arial" w:ascii="Arial" w:hAnsi="Arial"/>
          <w:sz w:val="22"/>
          <w:szCs w:val="22"/>
        </w:rPr>
        <w:t xml:space="preserve"> che seguirà le ordinarie procedure urbanistiche e ambientali previste dalla normativa vigente.</w:t>
      </w:r>
    </w:p>
    <w:p>
      <w:pPr>
        <w:pStyle w:val="Normal"/>
        <w:jc w:val="both"/>
        <w:rPr>
          <w:rFonts w:ascii="Arial" w:hAnsi="Arial" w:cs="Arial"/>
          <w:b/>
          <w:b/>
          <w:bCs/>
          <w:sz w:val="22"/>
          <w:szCs w:val="22"/>
        </w:rPr>
      </w:pPr>
      <w:r>
        <w:rPr>
          <w:rFonts w:cs="Arial" w:ascii="Arial" w:hAnsi="Arial"/>
          <w:b/>
          <w:bCs/>
          <w:sz w:val="22"/>
          <w:szCs w:val="22"/>
        </w:rPr>
        <w:t>Ma soprattutto, sarà oggetto di confronto pubblico.</w:t>
      </w:r>
    </w:p>
    <w:p>
      <w:pPr>
        <w:pStyle w:val="Normal"/>
        <w:jc w:val="both"/>
        <w:rPr>
          <w:rFonts w:ascii="Arial" w:hAnsi="Arial" w:cs="Arial"/>
          <w:b/>
          <w:b/>
          <w:bCs/>
          <w:sz w:val="22"/>
          <w:szCs w:val="22"/>
        </w:rPr>
      </w:pPr>
      <w:r>
        <w:rPr>
          <w:rFonts w:cs="Arial" w:ascii="Arial" w:hAnsi="Arial"/>
          <w:sz w:val="22"/>
          <w:szCs w:val="22"/>
        </w:rPr>
        <w:t xml:space="preserve">Dopo anni in cui Bagnoli è stata percepita come un luogo di decisioni calate dall’alto o bloccate dai conflitti istituzionali, </w:t>
      </w:r>
      <w:r>
        <w:rPr>
          <w:rFonts w:cs="Arial" w:ascii="Arial" w:hAnsi="Arial"/>
          <w:b/>
          <w:bCs/>
          <w:sz w:val="22"/>
          <w:szCs w:val="22"/>
        </w:rPr>
        <w:t>la fase successiva dovrà essere diversa</w:t>
      </w:r>
      <w:r>
        <w:rPr>
          <w:rFonts w:cs="Arial" w:ascii="Arial" w:hAnsi="Arial"/>
          <w:sz w:val="22"/>
          <w:szCs w:val="22"/>
        </w:rPr>
        <w:t xml:space="preserve">. </w:t>
      </w:r>
      <w:r>
        <w:rPr>
          <w:rFonts w:cs="Arial" w:ascii="Arial" w:hAnsi="Arial"/>
          <w:b/>
          <w:bCs/>
          <w:sz w:val="22"/>
          <w:szCs w:val="22"/>
        </w:rPr>
        <w:t>La trasformazione della colmata rappresenta un passaggio simbolico e sostanziale: da area industriale compromessa a spazio pubblico affacciato sul mare.</w:t>
      </w:r>
    </w:p>
    <w:p>
      <w:pPr>
        <w:pStyle w:val="Normal"/>
        <w:jc w:val="both"/>
        <w:rPr>
          <w:rFonts w:ascii="Arial" w:hAnsi="Arial" w:cs="Arial"/>
          <w:b/>
          <w:b/>
          <w:bCs/>
          <w:sz w:val="22"/>
          <w:szCs w:val="22"/>
        </w:rPr>
      </w:pPr>
      <w:r>
        <w:rPr>
          <w:rFonts w:cs="Arial" w:ascii="Arial" w:hAnsi="Arial"/>
          <w:sz w:val="22"/>
          <w:szCs w:val="22"/>
        </w:rPr>
        <w:t xml:space="preserve">Per questo motivo </w:t>
      </w:r>
      <w:r>
        <w:rPr>
          <w:rFonts w:cs="Arial" w:ascii="Arial" w:hAnsi="Arial"/>
          <w:b/>
          <w:bCs/>
          <w:sz w:val="22"/>
          <w:szCs w:val="22"/>
        </w:rPr>
        <w:t>sarà avviato un percorso di ascolto e partecipazione rivolto al quartiere e alla città, finalizzato a costruire un assetto condiviso delle funzioni, delle modalità di accesso e degli usi collettivi dell’area.</w:t>
      </w:r>
    </w:p>
    <w:p>
      <w:pPr>
        <w:pStyle w:val="Normal"/>
        <w:jc w:val="both"/>
        <w:rPr>
          <w:rFonts w:ascii="Arial" w:hAnsi="Arial" w:cs="Arial"/>
          <w:b/>
          <w:b/>
          <w:bCs/>
          <w:sz w:val="22"/>
          <w:szCs w:val="22"/>
        </w:rPr>
      </w:pPr>
      <w:r>
        <w:rPr>
          <w:rFonts w:cs="Arial" w:ascii="Arial" w:hAnsi="Arial"/>
          <w:sz w:val="22"/>
          <w:szCs w:val="22"/>
        </w:rPr>
        <w:t xml:space="preserve">Sarà </w:t>
      </w:r>
      <w:r>
        <w:rPr>
          <w:rFonts w:cs="Arial" w:ascii="Arial" w:hAnsi="Arial"/>
          <w:b/>
          <w:bCs/>
          <w:sz w:val="22"/>
          <w:szCs w:val="22"/>
        </w:rPr>
        <w:t>un processo di accompagnamento alla definizione progettuale, in cui il confronto pubblico precederà le scelte definitive.</w:t>
      </w:r>
    </w:p>
    <w:p>
      <w:pPr>
        <w:pStyle w:val="Normal"/>
        <w:jc w:val="both"/>
        <w:rPr>
          <w:rFonts w:ascii="Arial" w:hAnsi="Arial" w:cs="Arial"/>
          <w:sz w:val="22"/>
          <w:szCs w:val="22"/>
        </w:rPr>
      </w:pPr>
      <w:r>
        <w:rPr>
          <w:rFonts w:cs="Arial" w:ascii="Arial" w:hAnsi="Arial"/>
          <w:sz w:val="22"/>
          <w:szCs w:val="22"/>
        </w:rPr>
        <w:t>L’obiettivo è duplice:</w:t>
      </w:r>
    </w:p>
    <w:p>
      <w:pPr>
        <w:pStyle w:val="Normal"/>
        <w:numPr>
          <w:ilvl w:val="0"/>
          <w:numId w:val="3"/>
        </w:numPr>
        <w:jc w:val="both"/>
        <w:rPr>
          <w:rFonts w:ascii="Arial" w:hAnsi="Arial" w:cs="Arial"/>
          <w:sz w:val="22"/>
          <w:szCs w:val="22"/>
        </w:rPr>
      </w:pPr>
      <w:r>
        <w:rPr>
          <w:rFonts w:cs="Arial" w:ascii="Arial" w:hAnsi="Arial"/>
          <w:sz w:val="22"/>
          <w:szCs w:val="22"/>
        </w:rPr>
        <w:t>garantire coerenza con il quadro ambientale e urbanistico del PRARU;</w:t>
      </w:r>
    </w:p>
    <w:p>
      <w:pPr>
        <w:pStyle w:val="Normal"/>
        <w:numPr>
          <w:ilvl w:val="0"/>
          <w:numId w:val="3"/>
        </w:numPr>
        <w:jc w:val="both"/>
        <w:rPr>
          <w:rFonts w:ascii="Arial" w:hAnsi="Arial" w:cs="Arial"/>
          <w:sz w:val="22"/>
          <w:szCs w:val="22"/>
        </w:rPr>
      </w:pPr>
      <w:r>
        <w:rPr>
          <w:rFonts w:cs="Arial" w:ascii="Arial" w:hAnsi="Arial"/>
          <w:sz w:val="22"/>
          <w:szCs w:val="22"/>
        </w:rPr>
        <w:t>rafforzare il senso di appartenenza e responsabilità collettiva rispetto a uno spazio che tornerà ad essere pienamente pubblico.</w:t>
      </w:r>
    </w:p>
    <w:p>
      <w:pPr>
        <w:pStyle w:val="Normal"/>
        <w:jc w:val="both"/>
        <w:rPr>
          <w:rFonts w:ascii="Arial" w:hAnsi="Arial" w:cs="Arial"/>
          <w:b/>
          <w:b/>
          <w:bCs/>
          <w:sz w:val="22"/>
          <w:szCs w:val="22"/>
        </w:rPr>
      </w:pPr>
      <w:r>
        <w:rPr>
          <w:rFonts w:cs="Arial" w:ascii="Arial" w:hAnsi="Arial"/>
          <w:b/>
          <w:bCs/>
          <w:sz w:val="22"/>
          <w:szCs w:val="22"/>
        </w:rPr>
        <w:t>La colmata è destinata a diventare un luogo di relazione tra città e mare.</w:t>
      </w:r>
    </w:p>
    <w:p>
      <w:pPr>
        <w:pStyle w:val="Normal"/>
        <w:jc w:val="both"/>
        <w:rPr>
          <w:rFonts w:ascii="Arial" w:hAnsi="Arial" w:cs="Arial"/>
          <w:b/>
          <w:b/>
          <w:bCs/>
          <w:sz w:val="22"/>
          <w:szCs w:val="22"/>
        </w:rPr>
      </w:pPr>
      <w:r>
        <w:rPr>
          <w:rFonts w:cs="Arial" w:ascii="Arial" w:hAnsi="Arial"/>
          <w:b/>
          <w:bCs/>
          <w:sz w:val="22"/>
          <w:szCs w:val="22"/>
        </w:rPr>
        <w:t xml:space="preserve">E’ imminente l’avvio della community on line nell’ambito del progetto “Rigenera Bagnoli”, uno spazio di discussione con Forum dedicati, per garantire democrazia partecipativa e trasparenza. Un nuovo strumento attivo di partecipazione. </w:t>
      </w:r>
    </w:p>
    <w:p>
      <w:pPr>
        <w:pStyle w:val="Normal"/>
        <w:jc w:val="both"/>
        <w:rPr>
          <w:rFonts w:ascii="Arial" w:hAnsi="Arial" w:cs="Arial"/>
          <w:b/>
          <w:b/>
          <w:bCs/>
          <w:sz w:val="22"/>
          <w:szCs w:val="22"/>
        </w:rPr>
      </w:pPr>
      <w:r>
        <w:rPr>
          <w:rFonts w:cs="Arial" w:ascii="Arial" w:hAnsi="Arial"/>
          <w:b/>
          <w:bCs/>
          <w:sz w:val="22"/>
          <w:szCs w:val="22"/>
        </w:rPr>
      </w:r>
    </w:p>
    <w:p>
      <w:pPr>
        <w:pStyle w:val="Titolo1"/>
        <w:rPr/>
      </w:pPr>
      <w:bookmarkStart w:id="7" w:name="_Toc223095548"/>
      <w:r>
        <w:rPr/>
        <w:t xml:space="preserve">5. </w:t>
        <w:tab/>
        <w:t>Sicurezza ambientale e sanitaria</w:t>
      </w:r>
      <w:bookmarkEnd w:id="7"/>
    </w:p>
    <w:p>
      <w:pPr>
        <w:pStyle w:val="Normal"/>
        <w:jc w:val="both"/>
        <w:rPr>
          <w:rFonts w:ascii="Arial" w:hAnsi="Arial" w:cs="Arial"/>
          <w:sz w:val="22"/>
          <w:szCs w:val="22"/>
        </w:rPr>
      </w:pPr>
      <w:r>
        <w:rPr>
          <w:rFonts w:cs="Arial" w:ascii="Arial" w:hAnsi="Arial"/>
          <w:sz w:val="22"/>
          <w:szCs w:val="22"/>
        </w:rPr>
        <w:t>Sul tema della sicurezza ambientale e sanitaria è necessario riportare il confronto su un piano tecnico e oggettivo, fondato su dati verificabili e non su rappresentazioni allarmistiche.</w:t>
      </w:r>
    </w:p>
    <w:p>
      <w:pPr>
        <w:pStyle w:val="Normal"/>
        <w:jc w:val="both"/>
        <w:rPr>
          <w:rFonts w:ascii="Arial" w:hAnsi="Arial" w:cs="Arial"/>
          <w:sz w:val="22"/>
          <w:szCs w:val="22"/>
        </w:rPr>
      </w:pPr>
      <w:r>
        <w:rPr>
          <w:rFonts w:cs="Arial" w:ascii="Arial" w:hAnsi="Arial"/>
          <w:sz w:val="22"/>
          <w:szCs w:val="22"/>
        </w:rPr>
        <w:t>L’area di Bagnoli è un Sito di Interesse Nazionale. Tutte le attività in corso si svolgono nel rispetto del D.Lgs. 152/2006 e sotto il controllo degli enti competenti – Ministero dell’Ambiente, ARPAC, ASL, ISPRA – nell’ambito del Piano di Monitoraggio Ambientale che accompagna ogni fase delle lavorazioni.</w:t>
      </w:r>
    </w:p>
    <w:p>
      <w:pPr>
        <w:pStyle w:val="Normal"/>
        <w:jc w:val="both"/>
        <w:rPr>
          <w:rFonts w:ascii="Arial" w:hAnsi="Arial" w:cs="Arial"/>
          <w:sz w:val="22"/>
          <w:szCs w:val="22"/>
        </w:rPr>
      </w:pPr>
      <w:r>
        <w:rPr>
          <w:rFonts w:cs="Arial" w:ascii="Arial" w:hAnsi="Arial"/>
          <w:b/>
          <w:bCs/>
          <w:sz w:val="22"/>
          <w:szCs w:val="22"/>
        </w:rPr>
        <w:t>Sulla colmata non è in corso alcuna rimozione massiva di materiali contaminati.</w:t>
      </w:r>
      <w:r>
        <w:rPr>
          <w:rFonts w:cs="Arial" w:ascii="Arial" w:hAnsi="Arial"/>
          <w:sz w:val="22"/>
          <w:szCs w:val="22"/>
        </w:rPr>
        <w:t xml:space="preserve"> È in corso una messa in sicurezza permanente mediante capping multistrato, progettato per isolare in modo definitivo i materiali di riporto, interrompere i percorsi di esposizione e consentire la fruizione in sicurezza dell’area. Il livellamento superficiale avviene mediante terreno e materiale proveniente da cava, conforme alle normative vigenti. Non si sta utilizzando materiale contaminato per la sistemazione delle superfici. </w:t>
      </w:r>
    </w:p>
    <w:p>
      <w:pPr>
        <w:pStyle w:val="Normal"/>
        <w:jc w:val="both"/>
        <w:rPr>
          <w:rFonts w:ascii="Arial" w:hAnsi="Arial" w:cs="Arial"/>
          <w:sz w:val="22"/>
          <w:szCs w:val="22"/>
        </w:rPr>
      </w:pPr>
      <w:r>
        <w:rPr>
          <w:rFonts w:cs="Arial" w:ascii="Arial" w:hAnsi="Arial"/>
          <w:b/>
          <w:bCs/>
          <w:sz w:val="22"/>
          <w:szCs w:val="22"/>
        </w:rPr>
        <w:t xml:space="preserve">Le polveri, sulle quali tanto allarme è stato incoscientemente diffuso in questi giorni, sono riconducibili alla movimentazione dei mezzi e dei materiali di cava, </w:t>
      </w:r>
      <w:r>
        <w:rPr>
          <w:rFonts w:cs="Arial" w:ascii="Arial" w:hAnsi="Arial"/>
          <w:sz w:val="22"/>
          <w:szCs w:val="22"/>
        </w:rPr>
        <w:t>come avviene in qualunque cantiere infrastrutturale</w:t>
      </w:r>
      <w:r>
        <w:rPr>
          <w:rFonts w:cs="Arial" w:ascii="Arial" w:hAnsi="Arial"/>
          <w:b/>
          <w:bCs/>
          <w:sz w:val="22"/>
          <w:szCs w:val="22"/>
        </w:rPr>
        <w:t>. Non si tratta di dispersione di sostanze pericolose.</w:t>
      </w:r>
      <w:r>
        <w:rPr>
          <w:rFonts w:cs="Arial" w:ascii="Arial" w:hAnsi="Arial"/>
          <w:sz w:val="22"/>
          <w:szCs w:val="22"/>
        </w:rPr>
        <w:t xml:space="preserve"> Proprio per prevenire e controllare ogni possibile criticità, il Piano di Monitoraggio Ambientale è stato rafforzato: sono attive centraline per il rilevamento delle polveri, sono previste soglie di attenzione e procedure di sospensione immediata delle lavorazioni in caso di superamento dei parametri. I dati vengono raccolti con cadenza periodica e sono messi a disposizione degli enti di controllo e pubblicati secondo quanto previsto. La sicurezza non è affidata a rassicurazioni verbali, ma a misurazioni certificate di concerto con gli enti di controllo ASL e ARPAC primi fra tutti.</w:t>
      </w:r>
    </w:p>
    <w:p>
      <w:pPr>
        <w:pStyle w:val="Normal"/>
        <w:jc w:val="both"/>
        <w:rPr>
          <w:rFonts w:ascii="Arial" w:hAnsi="Arial" w:cs="Arial"/>
          <w:b/>
          <w:b/>
          <w:bCs/>
          <w:sz w:val="22"/>
          <w:szCs w:val="22"/>
        </w:rPr>
      </w:pPr>
      <w:r>
        <w:rPr>
          <w:rFonts w:cs="Arial" w:ascii="Arial" w:hAnsi="Arial"/>
          <w:sz w:val="22"/>
          <w:szCs w:val="22"/>
        </w:rPr>
        <w:t xml:space="preserve">Anche per quanto riguarda </w:t>
      </w:r>
      <w:r>
        <w:rPr>
          <w:rFonts w:cs="Arial" w:ascii="Arial" w:hAnsi="Arial"/>
          <w:b/>
          <w:bCs/>
          <w:sz w:val="22"/>
          <w:szCs w:val="22"/>
        </w:rPr>
        <w:t>i dragaggi</w:t>
      </w:r>
      <w:r>
        <w:rPr>
          <w:rFonts w:cs="Arial" w:ascii="Arial" w:hAnsi="Arial"/>
          <w:sz w:val="22"/>
          <w:szCs w:val="22"/>
        </w:rPr>
        <w:t xml:space="preserve">, è importante essere chiari. </w:t>
      </w:r>
      <w:r>
        <w:rPr>
          <w:rFonts w:cs="Arial" w:ascii="Arial" w:hAnsi="Arial"/>
          <w:b/>
          <w:bCs/>
          <w:sz w:val="22"/>
          <w:szCs w:val="22"/>
        </w:rPr>
        <w:t>Non si tratta di escavi indiscriminati, ma di interventi ambientali selettivi</w:t>
      </w:r>
      <w:r>
        <w:rPr>
          <w:rFonts w:cs="Arial" w:ascii="Arial" w:hAnsi="Arial"/>
          <w:sz w:val="22"/>
          <w:szCs w:val="22"/>
        </w:rPr>
        <w:t xml:space="preserve">, </w:t>
      </w:r>
      <w:r>
        <w:rPr>
          <w:rFonts w:cs="Arial" w:ascii="Arial" w:hAnsi="Arial"/>
          <w:b/>
          <w:bCs/>
          <w:sz w:val="22"/>
          <w:szCs w:val="22"/>
        </w:rPr>
        <w:t xml:space="preserve">progettati sulla base delle caratterizzazioni esistenti e realizzati con tecniche a ridotta dispersione. </w:t>
      </w:r>
    </w:p>
    <w:p>
      <w:pPr>
        <w:pStyle w:val="Normal"/>
        <w:jc w:val="both"/>
        <w:rPr>
          <w:rFonts w:ascii="Arial" w:hAnsi="Arial" w:cs="Arial"/>
          <w:sz w:val="22"/>
          <w:szCs w:val="22"/>
        </w:rPr>
      </w:pPr>
      <w:r>
        <w:rPr>
          <w:rFonts w:cs="Arial" w:ascii="Arial" w:hAnsi="Arial"/>
          <w:sz w:val="22"/>
          <w:szCs w:val="22"/>
        </w:rPr>
        <w:t xml:space="preserve">Le operazioni vengono eseguite con </w:t>
      </w:r>
      <w:r>
        <w:rPr>
          <w:rFonts w:cs="Arial" w:ascii="Arial" w:hAnsi="Arial"/>
          <w:b/>
          <w:bCs/>
          <w:sz w:val="22"/>
          <w:szCs w:val="22"/>
        </w:rPr>
        <w:t>benne a chiusura ermetica</w:t>
      </w:r>
      <w:r>
        <w:rPr>
          <w:rFonts w:cs="Arial" w:ascii="Arial" w:hAnsi="Arial"/>
          <w:sz w:val="22"/>
          <w:szCs w:val="22"/>
        </w:rPr>
        <w:t xml:space="preserve">, in bacini progressivamente confinati, con barriere antitorbidità e sistemi di contenimento. È </w:t>
      </w:r>
      <w:r>
        <w:rPr>
          <w:rFonts w:cs="Arial" w:ascii="Arial" w:hAnsi="Arial"/>
          <w:b/>
          <w:bCs/>
          <w:sz w:val="22"/>
          <w:szCs w:val="22"/>
        </w:rPr>
        <w:t>previsto il monitoraggio</w:t>
      </w:r>
      <w:r>
        <w:rPr>
          <w:rFonts w:cs="Arial" w:ascii="Arial" w:hAnsi="Arial"/>
          <w:sz w:val="22"/>
          <w:szCs w:val="22"/>
        </w:rPr>
        <w:t xml:space="preserve"> lungo l’intera colonna d’acqua durante tutte le fasi di lavorazione. </w:t>
      </w:r>
      <w:r>
        <w:rPr>
          <w:rFonts w:cs="Arial" w:ascii="Arial" w:hAnsi="Arial"/>
          <w:b/>
          <w:bCs/>
          <w:sz w:val="22"/>
          <w:szCs w:val="22"/>
        </w:rPr>
        <w:t>I sedimenti dragati vengono immediatamente confinati, trasferiti in aree impermeabilizzate, caratterizzati analiticamente</w:t>
      </w:r>
      <w:r>
        <w:rPr>
          <w:rFonts w:cs="Arial" w:ascii="Arial" w:hAnsi="Arial"/>
          <w:sz w:val="22"/>
          <w:szCs w:val="22"/>
        </w:rPr>
        <w:t xml:space="preserve"> e, qualora non conformi, </w:t>
      </w:r>
      <w:r>
        <w:rPr>
          <w:rFonts w:cs="Arial" w:ascii="Arial" w:hAnsi="Arial"/>
          <w:b/>
          <w:bCs/>
          <w:sz w:val="22"/>
          <w:szCs w:val="22"/>
        </w:rPr>
        <w:t xml:space="preserve">avviati a trattamento o smaltimento presso impianti autorizzati fuori sito. </w:t>
      </w:r>
    </w:p>
    <w:p>
      <w:pPr>
        <w:pStyle w:val="Normal"/>
        <w:jc w:val="both"/>
        <w:rPr>
          <w:rFonts w:ascii="Arial" w:hAnsi="Arial" w:cs="Arial"/>
          <w:b/>
          <w:b/>
          <w:bCs/>
          <w:sz w:val="22"/>
          <w:szCs w:val="22"/>
        </w:rPr>
      </w:pPr>
      <w:r>
        <w:rPr>
          <w:rFonts w:cs="Arial" w:ascii="Arial" w:hAnsi="Arial"/>
          <w:b/>
          <w:bCs/>
          <w:sz w:val="22"/>
          <w:szCs w:val="22"/>
        </w:rPr>
        <w:t>Non vi è alcuna dispersione incontrollata. Le modellazioni idrodinamiche effettuate indicano che la risospensione indotta dalle operazioni è inferiore a quella naturalmente generata dal moto ondoso.</w:t>
      </w:r>
    </w:p>
    <w:p>
      <w:pPr>
        <w:pStyle w:val="Normal"/>
        <w:jc w:val="both"/>
        <w:rPr>
          <w:rFonts w:ascii="Arial" w:hAnsi="Arial" w:cs="Arial"/>
          <w:b/>
          <w:b/>
          <w:bCs/>
          <w:sz w:val="22"/>
          <w:szCs w:val="22"/>
        </w:rPr>
      </w:pPr>
      <w:r>
        <w:rPr>
          <w:rFonts w:cs="Arial" w:ascii="Arial" w:hAnsi="Arial"/>
          <w:sz w:val="22"/>
          <w:szCs w:val="22"/>
        </w:rPr>
        <w:t xml:space="preserve">È utile, a questo punto, richiamare il confronto con </w:t>
      </w:r>
      <w:r>
        <w:rPr>
          <w:rFonts w:cs="Arial" w:ascii="Arial" w:hAnsi="Arial"/>
          <w:b/>
          <w:bCs/>
          <w:sz w:val="22"/>
          <w:szCs w:val="22"/>
        </w:rPr>
        <w:t xml:space="preserve">l’ipotesi originaria di rimozione integrale della colmata. </w:t>
      </w:r>
    </w:p>
    <w:p>
      <w:pPr>
        <w:pStyle w:val="Normal"/>
        <w:jc w:val="both"/>
        <w:rPr>
          <w:rFonts w:ascii="Arial" w:hAnsi="Arial" w:cs="Arial"/>
          <w:sz w:val="22"/>
          <w:szCs w:val="22"/>
        </w:rPr>
      </w:pPr>
      <w:r>
        <w:rPr>
          <w:rFonts w:cs="Arial" w:ascii="Arial" w:hAnsi="Arial"/>
          <w:b/>
          <w:bCs/>
          <w:sz w:val="22"/>
          <w:szCs w:val="22"/>
        </w:rPr>
        <w:t>Il progetto del 2021 prevedeva la movimentazione di oltre 1 milione e 300 mila metri cubi di materiale, solo della colmata, equivalente a oltre due milioni di tonnellate.</w:t>
      </w:r>
      <w:r>
        <w:rPr>
          <w:rFonts w:cs="Arial" w:ascii="Arial" w:hAnsi="Arial"/>
          <w:sz w:val="22"/>
          <w:szCs w:val="22"/>
        </w:rPr>
        <w:t xml:space="preserve"> Nel corso della procedura VIA del 2024 sono emerse criticità ambientali rilevanti legate all’enorme quantità di materiali da trasportare, ai tempi di esecuzione e agli impatti su traffico ed emissioni Co2, per il gran numero di transiti previsti. </w:t>
      </w:r>
    </w:p>
    <w:p>
      <w:pPr>
        <w:pStyle w:val="Normal"/>
        <w:jc w:val="both"/>
        <w:rPr>
          <w:rFonts w:ascii="Arial" w:hAnsi="Arial" w:cs="Arial"/>
          <w:sz w:val="22"/>
          <w:szCs w:val="22"/>
        </w:rPr>
      </w:pPr>
      <w:r>
        <w:rPr>
          <w:rFonts w:cs="Arial" w:ascii="Arial" w:hAnsi="Arial"/>
          <w:sz w:val="22"/>
          <w:szCs w:val="22"/>
        </w:rPr>
        <w:t xml:space="preserve">Le stime tecniche </w:t>
      </w:r>
      <w:r>
        <w:rPr>
          <w:rFonts w:cs="Arial" w:ascii="Arial" w:hAnsi="Arial"/>
          <w:b/>
          <w:bCs/>
          <w:sz w:val="22"/>
          <w:szCs w:val="22"/>
        </w:rPr>
        <w:t>indicavano circa 175.000 viaggi complessivi di camion</w:t>
      </w:r>
      <w:r>
        <w:rPr>
          <w:rFonts w:cs="Arial" w:ascii="Arial" w:hAnsi="Arial"/>
          <w:sz w:val="22"/>
          <w:szCs w:val="22"/>
        </w:rPr>
        <w:t xml:space="preserve">, con picchi fino a quasi </w:t>
      </w:r>
      <w:r>
        <w:rPr>
          <w:rFonts w:cs="Arial" w:ascii="Arial" w:hAnsi="Arial"/>
          <w:b/>
          <w:bCs/>
          <w:sz w:val="22"/>
          <w:szCs w:val="22"/>
        </w:rPr>
        <w:t>400 viaggi giornalieri e una durata operativa stimata in almeno quattro anni.</w:t>
      </w:r>
      <w:r>
        <w:rPr>
          <w:rFonts w:cs="Arial" w:ascii="Arial" w:hAnsi="Arial"/>
          <w:sz w:val="22"/>
          <w:szCs w:val="22"/>
        </w:rPr>
        <w:t xml:space="preserve"> Questo avrebbe comportato un impatto prolungato e significativo sull’area urbana, con un impatto di gran lunga  superiore a quello attuale.</w:t>
      </w:r>
    </w:p>
    <w:p>
      <w:pPr>
        <w:pStyle w:val="Normal"/>
        <w:jc w:val="both"/>
        <w:rPr>
          <w:rFonts w:ascii="Arial" w:hAnsi="Arial" w:cs="Arial"/>
          <w:sz w:val="22"/>
          <w:szCs w:val="22"/>
        </w:rPr>
      </w:pPr>
      <w:r>
        <w:rPr>
          <w:rFonts w:cs="Arial" w:ascii="Arial" w:hAnsi="Arial"/>
          <w:sz w:val="22"/>
          <w:szCs w:val="22"/>
        </w:rPr>
        <w:t>La soluzione oggi adottata, resa possibile dal quadro normativo aggiornato, non rappresenta un arretramento ambientale, ma una scelta tecnicamente più sostenibile: riduce drasticamente la movimentazione di materiali, limita il traffico pesante e consente comunque il risanamento dei sedimenti e il raggiungimento della balneabilità dello specchio acqueo.</w:t>
      </w:r>
    </w:p>
    <w:p>
      <w:pPr>
        <w:pStyle w:val="Normal"/>
        <w:jc w:val="both"/>
        <w:rPr>
          <w:rFonts w:ascii="Arial" w:hAnsi="Arial" w:cs="Arial"/>
          <w:sz w:val="22"/>
          <w:szCs w:val="22"/>
        </w:rPr>
      </w:pPr>
      <w:r>
        <w:rPr>
          <w:rFonts w:cs="Arial" w:ascii="Arial" w:hAnsi="Arial"/>
          <w:sz w:val="22"/>
          <w:szCs w:val="22"/>
        </w:rPr>
        <w:t>È legittimo che vi siano preoccupazioni in un’area con una storia industriale complessa. Ma è necessario distinguere tra presenza storica di contaminazione, rischio effettivo ed esposizione reale. La messa in sicurezza permanente serve proprio a eliminare i percorsi di esposizione e a garantire condizioni controllate e monitorate.</w:t>
      </w:r>
    </w:p>
    <w:p>
      <w:pPr>
        <w:pStyle w:val="Normal"/>
        <w:jc w:val="both"/>
        <w:rPr>
          <w:rFonts w:ascii="Arial" w:hAnsi="Arial" w:cs="Arial"/>
          <w:b/>
          <w:b/>
          <w:bCs/>
          <w:sz w:val="22"/>
          <w:szCs w:val="22"/>
        </w:rPr>
      </w:pPr>
      <w:r>
        <w:rPr>
          <w:rFonts w:cs="Arial" w:ascii="Arial" w:hAnsi="Arial"/>
          <w:b/>
          <w:bCs/>
          <w:sz w:val="22"/>
          <w:szCs w:val="22"/>
        </w:rPr>
        <w:t>Il rischio si valuta con analisi, dati e controlli continui. Non si presume.</w:t>
      </w:r>
    </w:p>
    <w:p>
      <w:pPr>
        <w:pStyle w:val="Normal"/>
        <w:jc w:val="both"/>
        <w:rPr>
          <w:rFonts w:ascii="Arial" w:hAnsi="Arial" w:cs="Arial"/>
          <w:b/>
          <w:b/>
          <w:bCs/>
          <w:sz w:val="22"/>
          <w:szCs w:val="22"/>
        </w:rPr>
      </w:pPr>
      <w:r>
        <w:rPr>
          <w:rFonts w:cs="Arial" w:ascii="Arial" w:hAnsi="Arial"/>
          <w:b/>
          <w:bCs/>
          <w:sz w:val="22"/>
          <w:szCs w:val="22"/>
        </w:rPr>
      </w:r>
    </w:p>
    <w:p>
      <w:pPr>
        <w:pStyle w:val="Titolo1"/>
        <w:rPr/>
      </w:pPr>
      <w:bookmarkStart w:id="8" w:name="_Toc223095549"/>
      <w:r>
        <w:rPr/>
        <w:t>6.</w:t>
        <w:tab/>
        <w:t>Le opere infrastrutturali di supporto e il lascito per Bagnoli</w:t>
      </w:r>
      <w:bookmarkEnd w:id="8"/>
    </w:p>
    <w:p>
      <w:pPr>
        <w:pStyle w:val="Normal"/>
        <w:jc w:val="both"/>
        <w:rPr>
          <w:rFonts w:ascii="Arial" w:hAnsi="Arial" w:cs="Arial"/>
          <w:sz w:val="22"/>
          <w:szCs w:val="22"/>
        </w:rPr>
      </w:pPr>
      <w:r>
        <w:rPr>
          <w:rFonts w:cs="Arial" w:ascii="Arial" w:hAnsi="Arial"/>
          <w:sz w:val="22"/>
          <w:szCs w:val="22"/>
        </w:rPr>
        <w:t>Accanto agli interventi direttamente connessi alla realizzazione della Technical Base Area, è stato definito un programma organico di opere infrastrutturali che costituisce uno degli elementi più rilevanti in termini di eredità permanente per il quartiere di Bagnoli.</w:t>
      </w:r>
    </w:p>
    <w:p>
      <w:pPr>
        <w:pStyle w:val="Normal"/>
        <w:jc w:val="both"/>
        <w:rPr>
          <w:rFonts w:ascii="Arial" w:hAnsi="Arial" w:cs="Arial"/>
          <w:sz w:val="22"/>
          <w:szCs w:val="22"/>
        </w:rPr>
      </w:pPr>
      <w:r>
        <w:rPr>
          <w:rFonts w:cs="Arial" w:ascii="Arial" w:hAnsi="Arial"/>
          <w:sz w:val="22"/>
          <w:szCs w:val="22"/>
        </w:rPr>
        <w:t>Non si tratta di opere accessorie o funzionali all’evento sportivo. Si tratta di interventi che migliorano in modo strutturale l’accessibilità, la sicurezza, la qualità urbana e la fruibilità pubblica dell’area, integrando il programma dell’America’s Cup nel più ampio percorso di attuazione del PRARU.</w:t>
      </w:r>
    </w:p>
    <w:p>
      <w:pPr>
        <w:pStyle w:val="Normal"/>
        <w:jc w:val="both"/>
        <w:rPr>
          <w:rFonts w:ascii="Arial" w:hAnsi="Arial" w:cs="Arial"/>
          <w:sz w:val="22"/>
          <w:szCs w:val="22"/>
        </w:rPr>
      </w:pPr>
      <w:r>
        <w:rPr>
          <w:rFonts w:cs="Arial" w:ascii="Arial" w:hAnsi="Arial"/>
          <w:sz w:val="22"/>
          <w:szCs w:val="22"/>
        </w:rPr>
        <w:t>Il valore complessivo degli interventi direttamente connessi all’evento è stimato in circa 40 milioni di euro, finanziati a valere sulle risorse del Fondo per lo Sviluppo e la Coesione 2021–2027. A queste risorse si affiancano ulteriori finanziamenti già attivati dal Comune di Napoli per la manutenzione straordinaria di importanti assi viari metropolitani.</w:t>
      </w:r>
    </w:p>
    <w:p>
      <w:pPr>
        <w:pStyle w:val="Normal"/>
        <w:jc w:val="both"/>
        <w:rPr>
          <w:rFonts w:ascii="Arial" w:hAnsi="Arial" w:cs="Arial"/>
          <w:sz w:val="22"/>
          <w:szCs w:val="22"/>
        </w:rPr>
      </w:pPr>
      <w:r>
        <w:rPr>
          <w:rFonts w:cs="Arial" w:ascii="Arial" w:hAnsi="Arial"/>
          <w:sz w:val="22"/>
          <w:szCs w:val="22"/>
        </w:rPr>
        <w:t xml:space="preserve">Il primo ambito di intervento riguarda l’accessibilità e la connessione esterna dell’area. </w:t>
      </w:r>
      <w:r>
        <w:rPr>
          <w:rFonts w:cs="Arial" w:ascii="Arial" w:hAnsi="Arial"/>
          <w:b/>
          <w:bCs/>
          <w:sz w:val="22"/>
          <w:szCs w:val="22"/>
        </w:rPr>
        <w:t xml:space="preserve">È previsto il collegamento tra la Porta del Parco e via Coroglio, </w:t>
      </w:r>
      <w:r>
        <w:rPr>
          <w:rFonts w:cs="Arial" w:ascii="Arial" w:hAnsi="Arial"/>
          <w:sz w:val="22"/>
          <w:szCs w:val="22"/>
        </w:rPr>
        <w:t xml:space="preserve">che consentirà un sistema ordinato di mobilità sostenibile, </w:t>
      </w:r>
      <w:r>
        <w:rPr>
          <w:rFonts w:cs="Arial" w:ascii="Arial" w:hAnsi="Arial"/>
          <w:b/>
          <w:bCs/>
          <w:sz w:val="22"/>
          <w:szCs w:val="22"/>
        </w:rPr>
        <w:t>anche mediante navette elettriche, tra il nodo di interscambio e il waterfront.</w:t>
      </w:r>
      <w:r>
        <w:rPr>
          <w:rFonts w:cs="Arial" w:ascii="Arial" w:hAnsi="Arial"/>
          <w:sz w:val="22"/>
          <w:szCs w:val="22"/>
        </w:rPr>
        <w:t xml:space="preserve"> È prevista la </w:t>
      </w:r>
      <w:r>
        <w:rPr>
          <w:rFonts w:cs="Arial" w:ascii="Arial" w:hAnsi="Arial"/>
          <w:b/>
          <w:bCs/>
          <w:sz w:val="22"/>
          <w:szCs w:val="22"/>
        </w:rPr>
        <w:t>riqualificazione di via Coroglio</w:t>
      </w:r>
      <w:r>
        <w:rPr>
          <w:rFonts w:cs="Arial" w:ascii="Arial" w:hAnsi="Arial"/>
          <w:sz w:val="22"/>
          <w:szCs w:val="22"/>
        </w:rPr>
        <w:t xml:space="preserve">, asse strategico per l’accesso all’area, con </w:t>
      </w:r>
      <w:r>
        <w:rPr>
          <w:rFonts w:cs="Arial" w:ascii="Arial" w:hAnsi="Arial"/>
          <w:b/>
          <w:bCs/>
          <w:sz w:val="22"/>
          <w:szCs w:val="22"/>
        </w:rPr>
        <w:t>interventi strutturali sul manto stradale e sugli spazi pedonali</w:t>
      </w:r>
      <w:r>
        <w:rPr>
          <w:rFonts w:cs="Arial" w:ascii="Arial" w:hAnsi="Arial"/>
          <w:sz w:val="22"/>
          <w:szCs w:val="22"/>
        </w:rPr>
        <w:t>.</w:t>
      </w:r>
    </w:p>
    <w:p>
      <w:pPr>
        <w:pStyle w:val="Normal"/>
        <w:jc w:val="both"/>
        <w:rPr>
          <w:rFonts w:ascii="Arial" w:hAnsi="Arial" w:cs="Arial"/>
          <w:b/>
          <w:b/>
          <w:bCs/>
          <w:sz w:val="22"/>
          <w:szCs w:val="22"/>
        </w:rPr>
      </w:pPr>
      <w:r>
        <w:rPr>
          <w:rFonts w:cs="Arial" w:ascii="Arial" w:hAnsi="Arial"/>
          <w:sz w:val="22"/>
          <w:szCs w:val="22"/>
        </w:rPr>
        <w:t xml:space="preserve">Ma l’infrastruttura più significativa in questa prospettiva è la </w:t>
      </w:r>
      <w:r>
        <w:rPr>
          <w:rFonts w:cs="Arial" w:ascii="Arial" w:hAnsi="Arial"/>
          <w:b/>
          <w:bCs/>
          <w:sz w:val="22"/>
          <w:szCs w:val="22"/>
        </w:rPr>
        <w:t xml:space="preserve">nuova fermata della Linea 2 “Porta del Parco”, realizzata da RFI. </w:t>
      </w:r>
      <w:r>
        <w:rPr>
          <w:rFonts w:cs="Arial" w:ascii="Arial" w:hAnsi="Arial"/>
          <w:sz w:val="22"/>
          <w:szCs w:val="22"/>
        </w:rPr>
        <w:t xml:space="preserve">Si tratta di un’opera che supera ampiamente la dimensione dell’evento: integra stabilmente Bagnoli nel sistema ferroviario metropolitano, riduce la pressione veicolare, migliora l’accessibilità quotidiana del quartiere e crea una connessione diretta con il centro città e con l’area flegrea. È </w:t>
      </w:r>
      <w:r>
        <w:rPr>
          <w:rFonts w:cs="Arial" w:ascii="Arial" w:hAnsi="Arial"/>
          <w:b/>
          <w:bCs/>
          <w:sz w:val="22"/>
          <w:szCs w:val="22"/>
        </w:rPr>
        <w:t>un investimento che resterà a servizio dei cittadini ben oltre il 2027.</w:t>
      </w:r>
    </w:p>
    <w:p>
      <w:pPr>
        <w:pStyle w:val="Normal"/>
        <w:jc w:val="both"/>
        <w:rPr>
          <w:rFonts w:ascii="Arial" w:hAnsi="Arial" w:cs="Arial"/>
          <w:sz w:val="22"/>
          <w:szCs w:val="22"/>
        </w:rPr>
      </w:pPr>
      <w:r>
        <w:rPr>
          <w:rFonts w:cs="Arial" w:ascii="Arial" w:hAnsi="Arial"/>
          <w:sz w:val="22"/>
          <w:szCs w:val="22"/>
        </w:rPr>
        <w:t xml:space="preserve">Il secondo ambito riguarda la mobilità interna e la rete stradale. È prevista la </w:t>
      </w:r>
      <w:r>
        <w:rPr>
          <w:rFonts w:cs="Arial" w:ascii="Arial" w:hAnsi="Arial"/>
          <w:b/>
          <w:bCs/>
          <w:sz w:val="22"/>
          <w:szCs w:val="22"/>
        </w:rPr>
        <w:t>rifunzionalizzazione del parcheggio della Porta del Parco</w:t>
      </w:r>
      <w:r>
        <w:rPr>
          <w:rFonts w:cs="Arial" w:ascii="Arial" w:hAnsi="Arial"/>
          <w:sz w:val="22"/>
          <w:szCs w:val="22"/>
        </w:rPr>
        <w:t xml:space="preserve">, che si affianca ai due parcheggi già realizzati. </w:t>
      </w:r>
    </w:p>
    <w:p>
      <w:pPr>
        <w:pStyle w:val="Normal"/>
        <w:jc w:val="both"/>
        <w:rPr>
          <w:rFonts w:ascii="Arial" w:hAnsi="Arial" w:cs="Arial"/>
          <w:sz w:val="22"/>
          <w:szCs w:val="22"/>
        </w:rPr>
      </w:pPr>
      <w:r>
        <w:rPr>
          <w:rFonts w:cs="Arial" w:ascii="Arial" w:hAnsi="Arial"/>
          <w:sz w:val="22"/>
          <w:szCs w:val="22"/>
        </w:rPr>
        <w:t xml:space="preserve">Accanto a questi interventi è stato definito e </w:t>
      </w:r>
      <w:r>
        <w:rPr>
          <w:rFonts w:cs="Arial" w:ascii="Arial" w:hAnsi="Arial"/>
          <w:b/>
          <w:bCs/>
          <w:sz w:val="22"/>
          <w:szCs w:val="22"/>
        </w:rPr>
        <w:t>approvato</w:t>
      </w:r>
      <w:r>
        <w:rPr>
          <w:rFonts w:cs="Arial" w:ascii="Arial" w:hAnsi="Arial"/>
          <w:sz w:val="22"/>
          <w:szCs w:val="22"/>
        </w:rPr>
        <w:t xml:space="preserve"> </w:t>
      </w:r>
      <w:r>
        <w:rPr>
          <w:rFonts w:cs="Arial" w:ascii="Arial" w:hAnsi="Arial"/>
          <w:b/>
          <w:bCs/>
          <w:sz w:val="22"/>
          <w:szCs w:val="22"/>
        </w:rPr>
        <w:t>in Giunta un piano straordinario di riqualificazione e manutenzione delle strade della Municipalità 10</w:t>
      </w:r>
      <w:r>
        <w:rPr>
          <w:rFonts w:cs="Arial" w:ascii="Arial" w:hAnsi="Arial"/>
          <w:sz w:val="22"/>
          <w:szCs w:val="22"/>
        </w:rPr>
        <w:t>, disciplinato attraverso un Accordo di collaborazione ai sensi dell’art. 15 della legge 241/1990 tra il Commissario Straordinario, il Comune di Napoli. L’Accordo consente un esercizio coordinato delle competenze, il monitoraggio del cronoprogramma e la gestione delle interferenze con i cantieri dell’AC38.</w:t>
      </w:r>
    </w:p>
    <w:p>
      <w:pPr>
        <w:pStyle w:val="Normal"/>
        <w:jc w:val="both"/>
        <w:rPr>
          <w:rFonts w:ascii="Arial" w:hAnsi="Arial" w:cs="Arial"/>
          <w:b/>
          <w:b/>
          <w:bCs/>
          <w:sz w:val="22"/>
          <w:szCs w:val="22"/>
        </w:rPr>
      </w:pPr>
      <w:r>
        <w:rPr>
          <w:rFonts w:cs="Arial" w:ascii="Arial" w:hAnsi="Arial"/>
          <w:sz w:val="22"/>
          <w:szCs w:val="22"/>
        </w:rPr>
        <w:t xml:space="preserve">Sono già finanziati interventi per circa </w:t>
      </w:r>
      <w:r>
        <w:rPr>
          <w:rFonts w:cs="Arial" w:ascii="Arial" w:hAnsi="Arial"/>
          <w:b/>
          <w:bCs/>
          <w:sz w:val="22"/>
          <w:szCs w:val="22"/>
        </w:rPr>
        <w:t xml:space="preserve">16 milioni di euro su assi strategici come viale Augusto, via Beccadelli, via Cinthia e via di Pozzuoli, mentre ulteriori risorse, per circa 12 milioni di euro, saranno trasferite dal Commissario per la riqualificazione prioritaria di via Nuova Bagnoli, via Diocleziano, piazza a Mare, via Coroglio, piazza Bagnoli e altri assi fondamentali per il quartiere </w:t>
      </w:r>
    </w:p>
    <w:p>
      <w:pPr>
        <w:pStyle w:val="Normal"/>
        <w:jc w:val="both"/>
        <w:rPr>
          <w:rFonts w:ascii="Arial" w:hAnsi="Arial" w:cs="Arial"/>
          <w:sz w:val="22"/>
          <w:szCs w:val="22"/>
        </w:rPr>
      </w:pPr>
      <w:r>
        <w:rPr>
          <w:rFonts w:cs="Arial" w:ascii="Arial" w:hAnsi="Arial"/>
          <w:sz w:val="22"/>
          <w:szCs w:val="22"/>
        </w:rPr>
        <w:t>Gli interventi riguardano il rifacimento del manto stradale, la messa in quota dei chiusini, il ripristino delle caditoie e la manutenzione dei marciapiedi, con un miglioramento concreto della sicurezza e della qualità dello spazio pubblico.</w:t>
      </w:r>
    </w:p>
    <w:p>
      <w:pPr>
        <w:pStyle w:val="Normal"/>
        <w:jc w:val="both"/>
        <w:rPr>
          <w:rFonts w:ascii="Arial" w:hAnsi="Arial" w:cs="Arial"/>
          <w:b/>
          <w:b/>
          <w:bCs/>
          <w:sz w:val="22"/>
          <w:szCs w:val="22"/>
        </w:rPr>
      </w:pPr>
      <w:r>
        <w:rPr>
          <w:rFonts w:cs="Arial" w:ascii="Arial" w:hAnsi="Arial"/>
          <w:b/>
          <w:bCs/>
          <w:sz w:val="22"/>
          <w:szCs w:val="22"/>
        </w:rPr>
        <w:t>Il terzo ambito</w:t>
      </w:r>
      <w:r>
        <w:rPr>
          <w:rFonts w:cs="Arial" w:ascii="Arial" w:hAnsi="Arial"/>
          <w:sz w:val="22"/>
          <w:szCs w:val="22"/>
        </w:rPr>
        <w:t xml:space="preserve"> riguarda la qualità urbana e la restituzione degli spazi simbolici del waterfront. È prevista la </w:t>
      </w:r>
      <w:r>
        <w:rPr>
          <w:rFonts w:cs="Arial" w:ascii="Arial" w:hAnsi="Arial"/>
          <w:b/>
          <w:bCs/>
          <w:sz w:val="22"/>
          <w:szCs w:val="22"/>
        </w:rPr>
        <w:t>riqualificazione del Pontile Nord, con un investimento di 24 milioni di euro</w:t>
      </w:r>
      <w:r>
        <w:rPr>
          <w:rFonts w:cs="Arial" w:ascii="Arial" w:hAnsi="Arial"/>
          <w:sz w:val="22"/>
          <w:szCs w:val="22"/>
        </w:rPr>
        <w:t xml:space="preserve">, che ne restituisce piena funzionalità e rafforza, in coerenza con gli indirizzi della Cabina di Regia, anche il sistema delle vie di fuga via mare in relazione al rischio vulcanico. </w:t>
      </w:r>
      <w:r>
        <w:rPr>
          <w:rFonts w:cs="Arial" w:ascii="Arial" w:hAnsi="Arial"/>
          <w:b/>
          <w:bCs/>
          <w:sz w:val="22"/>
          <w:szCs w:val="22"/>
        </w:rPr>
        <w:t xml:space="preserve">Sono inoltre previsti interventi di sistemazione e illuminazione dell’area fronte mare dell’ex Città della Scienza, la manutenzione straordinaria del Circolo Ilva, l’illuminazione scenografica delle archeologie industriali e la riqualificazione del Lido Pola, </w:t>
      </w:r>
      <w:r>
        <w:rPr>
          <w:rFonts w:cs="Arial" w:ascii="Arial" w:hAnsi="Arial"/>
          <w:sz w:val="22"/>
          <w:szCs w:val="22"/>
        </w:rPr>
        <w:t xml:space="preserve">spazio simbolico della balneazione popolare, </w:t>
      </w:r>
      <w:r>
        <w:rPr>
          <w:rFonts w:cs="Arial" w:ascii="Arial" w:hAnsi="Arial"/>
          <w:b/>
          <w:bCs/>
          <w:sz w:val="22"/>
          <w:szCs w:val="22"/>
        </w:rPr>
        <w:t>destinato a tornare pienamente accessibile.</w:t>
      </w:r>
    </w:p>
    <w:p>
      <w:pPr>
        <w:pStyle w:val="Normal"/>
        <w:jc w:val="both"/>
        <w:rPr>
          <w:rFonts w:ascii="Arial" w:hAnsi="Arial" w:cs="Arial"/>
          <w:sz w:val="22"/>
          <w:szCs w:val="22"/>
        </w:rPr>
      </w:pPr>
      <w:r>
        <w:rPr>
          <w:rFonts w:cs="Arial" w:ascii="Arial" w:hAnsi="Arial"/>
          <w:sz w:val="22"/>
          <w:szCs w:val="22"/>
        </w:rPr>
        <w:t>Nel loro insieme, queste opere non rispondono esclusivamente alle esigenze organizzative dell’America’s Cup. Rappresentano un investimento strutturale sul quartiere, migliorano l’accessibilità metropolitana, riqualificano la rete stradale, restituiscono qualità al waterfront e rafforzano la sicurezza urbana.</w:t>
      </w:r>
    </w:p>
    <w:p>
      <w:pPr>
        <w:pStyle w:val="Normal"/>
        <w:spacing w:before="0" w:after="160"/>
        <w:jc w:val="both"/>
        <w:rPr>
          <w:rFonts w:ascii="Arial" w:hAnsi="Arial" w:cs="Arial"/>
          <w:sz w:val="22"/>
          <w:szCs w:val="22"/>
        </w:rPr>
      </w:pPr>
      <w:r>
        <w:rPr>
          <w:rFonts w:cs="Arial" w:ascii="Arial" w:hAnsi="Arial"/>
          <w:sz w:val="22"/>
          <w:szCs w:val="22"/>
        </w:rPr>
        <w:t>L’evento ha una durata limitata nel tempo. Le infrastrutture realizzate per sostenerlo resteranno a servizio della città e contribuiranno in modo concreto ad accelerare il processo di rigenerazione di Bagnoli.</w:t>
      </w:r>
    </w:p>
    <w:sectPr>
      <w:headerReference w:type="default" r:id="rId6"/>
      <w:footerReference w:type="default" r:id="rId7"/>
      <w:type w:val="nextPage"/>
      <w:pgSz w:w="11906" w:h="16838"/>
      <w:pgMar w:left="1134" w:right="1134" w:gutter="0" w:header="709" w:top="1418" w:footer="709" w:bottom="1134"/>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rial">
    <w:charset w:val="00"/>
    <w:family w:val="roman"/>
    <w:pitch w:val="variable"/>
  </w:font>
  <w:font w:name="Aptos Display">
    <w:charset w:val="00"/>
    <w:family w:val="roman"/>
    <w:pitch w:val="variable"/>
  </w:font>
  <w:font w:name="Liberation Sans">
    <w:altName w:val="Arial"/>
    <w:charset w:val="00"/>
    <w:family w:val="swiss"/>
    <w:pitch w:val="variable"/>
  </w:font>
  <w:font w:name="Corsiva">
    <w:charset w:val="00"/>
    <w:family w:val="roman"/>
    <w:pitch w:val="variable"/>
  </w:font>
  <w:font w:name="Courier New">
    <w:charset w:val="01"/>
    <w:family w:val="modern"/>
    <w:pitch w:val="fixed"/>
  </w:font>
  <w:font w:name="Wingdings">
    <w:charset w:val="02"/>
    <w:family w:val="auto"/>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01285378"/>
    </w:sdtPr>
    <w:sdtContent>
      <w:p>
        <w:pPr>
          <w:pStyle w:val="Pidipagina"/>
          <w:jc w:val="center"/>
          <w:rPr>
            <w:rFonts w:ascii="Arial" w:hAnsi="Arial" w:cs="Arial"/>
          </w:rPr>
        </w:pPr>
        <w:r>
          <w:rPr>
            <w:rFonts w:cs="Arial" w:ascii="Arial" w:hAnsi="Arial"/>
          </w:rPr>
        </w:r>
      </w:p>
      <w:p>
        <w:pPr>
          <w:pStyle w:val="Pidipagina"/>
          <w:pBdr>
            <w:top w:val="single" w:sz="4" w:space="1" w:color="000000"/>
          </w:pBdr>
          <w:jc w:val="center"/>
          <w:rPr>
            <w:rFonts w:ascii="Arial" w:hAnsi="Arial" w:cs="Arial"/>
            <w:sz w:val="20"/>
            <w:szCs w:val="20"/>
          </w:rPr>
        </w:pPr>
        <w:r>
          <w:rPr>
            <w:rFonts w:cs="Arial" w:ascii="Arial" w:hAnsi="Arial"/>
            <w:sz w:val="20"/>
            <w:szCs w:val="20"/>
          </w:rPr>
        </w:r>
      </w:p>
      <w:p>
        <w:pPr>
          <w:pStyle w:val="Pidipagina"/>
          <w:pBdr>
            <w:top w:val="single" w:sz="4" w:space="1" w:color="000000"/>
          </w:pBdr>
          <w:jc w:val="center"/>
          <w:rPr>
            <w:rFonts w:ascii="Arial" w:hAnsi="Arial" w:cs="Arial"/>
            <w:sz w:val="20"/>
            <w:szCs w:val="20"/>
          </w:rPr>
        </w:pPr>
        <w:r>
          <w:rPr/>
          <w:fldChar w:fldCharType="begin"/>
        </w:r>
        <w:r>
          <w:rPr/>
          <w:instrText xml:space="preserve"> PAGE </w:instrText>
        </w:r>
        <w:r>
          <w:rPr/>
          <w:fldChar w:fldCharType="separate"/>
        </w:r>
        <w:r>
          <w:rPr/>
          <w:t>11</w:t>
        </w:r>
        <w:r>
          <w:rPr/>
          <w:fldChar w:fldCharType="end"/>
        </w:r>
      </w:p>
    </w:sdtContent>
  </w:sdt>
  <w:p>
    <w:pPr>
      <w:pStyle w:val="Pidipagina"/>
      <w:rPr>
        <w:rFonts w:ascii="Arial" w:hAnsi="Arial" w:cs="Arial"/>
      </w:rPr>
    </w:pPr>
    <w:r>
      <w:rPr>
        <w:rFonts w:cs="Arial" w:ascii="Arial" w:hAnsi="Arial"/>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Grigliatabella"/>
      <w:tblW w:w="921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07"/>
      <w:gridCol w:w="4606"/>
    </w:tblGrid>
    <w:tr>
      <w:trPr/>
      <w:tc>
        <w:tcPr>
          <w:tcW w:w="4607" w:type="dxa"/>
          <w:tcBorders>
            <w:top w:val="nil"/>
            <w:left w:val="nil"/>
            <w:bottom w:val="nil"/>
            <w:right w:val="nil"/>
          </w:tcBorders>
        </w:tcPr>
        <w:p>
          <w:pPr>
            <w:pStyle w:val="Normal"/>
            <w:widowControl/>
            <w:spacing w:lineRule="auto" w:line="240" w:before="0" w:after="0"/>
            <w:jc w:val="center"/>
            <w:rPr>
              <w:rFonts w:ascii="Corsiva" w:hAnsi="Corsiva" w:eastAsia="Corsiva" w:cs="Corsiva"/>
              <w:sz w:val="32"/>
              <w:szCs w:val="32"/>
              <w:lang w:eastAsia="it-IT"/>
            </w:rPr>
          </w:pPr>
          <w:r>
            <w:rPr>
              <w:kern w:val="0"/>
              <w:sz w:val="22"/>
              <w:szCs w:val="22"/>
              <w:lang w:val="it-IT" w:eastAsia="en-US" w:bidi="ar-SA"/>
            </w:rPr>
            <w:object>
              <v:shapetype id="_x0000_tole_rId1" coordsize="21600,21600" o:spt="ole_rId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 type="_x0000_tole_rId1" style="width:38.8pt;height:43.85pt;mso-wrap-distance-right:0pt" filled="f" o:ole="">
                <v:imagedata r:id="rId2" o:title=""/>
              </v:shape>
              <o:OLEObject Type="Embed" ProgID="Word.Picture.8" ShapeID="ole_rId1" DrawAspect="Content" ObjectID="_1336849194" r:id="rId1"/>
            </w:object>
          </w:r>
        </w:p>
        <w:p>
          <w:pPr>
            <w:pStyle w:val="Normal"/>
            <w:widowControl/>
            <w:spacing w:lineRule="auto" w:line="240" w:before="0" w:after="0"/>
            <w:jc w:val="center"/>
            <w:rPr>
              <w:rFonts w:ascii="Arial" w:hAnsi="Arial" w:eastAsia="Calibri" w:cs="Arial"/>
              <w:b/>
              <w:b/>
              <w:sz w:val="16"/>
              <w:szCs w:val="16"/>
              <w:lang w:eastAsia="it-IT"/>
            </w:rPr>
          </w:pPr>
          <w:r>
            <w:rPr>
              <w:rFonts w:eastAsia="Calibri" w:cs="Arial" w:ascii="Arial" w:hAnsi="Arial"/>
              <w:b/>
              <w:kern w:val="0"/>
              <w:sz w:val="16"/>
              <w:szCs w:val="16"/>
              <w:lang w:val="it-IT" w:eastAsia="it-IT" w:bidi="ar-SA"/>
            </w:rPr>
            <w:t>Commissario Straordinario per la</w:t>
          </w:r>
        </w:p>
        <w:p>
          <w:pPr>
            <w:pStyle w:val="Normal"/>
            <w:widowControl/>
            <w:spacing w:lineRule="auto" w:line="240" w:before="0" w:after="0"/>
            <w:jc w:val="center"/>
            <w:rPr>
              <w:rFonts w:ascii="Arial" w:hAnsi="Arial" w:eastAsia="Calibri" w:cs="Arial"/>
              <w:b/>
              <w:b/>
              <w:sz w:val="16"/>
              <w:szCs w:val="16"/>
              <w:lang w:eastAsia="it-IT"/>
            </w:rPr>
          </w:pPr>
          <w:r>
            <w:rPr>
              <w:rFonts w:eastAsia="Calibri" w:cs="Arial" w:ascii="Arial" w:hAnsi="Arial"/>
              <w:b/>
              <w:kern w:val="0"/>
              <w:sz w:val="16"/>
              <w:szCs w:val="16"/>
              <w:lang w:val="it-IT" w:eastAsia="it-IT" w:bidi="ar-SA"/>
            </w:rPr>
            <w:t>bonifica ambientale e rigenerazione</w:t>
          </w:r>
        </w:p>
        <w:p>
          <w:pPr>
            <w:pStyle w:val="Normal"/>
            <w:widowControl/>
            <w:spacing w:lineRule="auto" w:line="240" w:before="0" w:after="0"/>
            <w:jc w:val="center"/>
            <w:rPr>
              <w:rFonts w:ascii="Arial" w:hAnsi="Arial" w:eastAsia="Calibri" w:cs="Arial"/>
              <w:b/>
              <w:b/>
              <w:sz w:val="16"/>
              <w:szCs w:val="16"/>
              <w:lang w:eastAsia="it-IT"/>
            </w:rPr>
          </w:pPr>
          <w:r>
            <w:rPr>
              <w:rFonts w:eastAsia="Calibri" w:cs="Arial" w:ascii="Arial" w:hAnsi="Arial"/>
              <w:b/>
              <w:kern w:val="0"/>
              <w:sz w:val="16"/>
              <w:szCs w:val="16"/>
              <w:lang w:val="it-IT" w:eastAsia="it-IT" w:bidi="ar-SA"/>
            </w:rPr>
            <w:t>urbana dell’Area di Rilevante Interesse</w:t>
          </w:r>
        </w:p>
        <w:p>
          <w:pPr>
            <w:pStyle w:val="Normal"/>
            <w:widowControl/>
            <w:spacing w:lineRule="auto" w:line="240" w:before="0" w:after="0"/>
            <w:jc w:val="center"/>
            <w:rPr>
              <w:rFonts w:ascii="Arial" w:hAnsi="Arial" w:eastAsia="Calibri" w:cs="Arial"/>
              <w:b/>
              <w:b/>
              <w:sz w:val="16"/>
              <w:szCs w:val="16"/>
              <w:lang w:eastAsia="it-IT"/>
            </w:rPr>
          </w:pPr>
          <w:r>
            <w:rPr>
              <w:rFonts w:eastAsia="Calibri" w:cs="Arial" w:ascii="Arial" w:hAnsi="Arial"/>
              <w:b/>
              <w:kern w:val="0"/>
              <w:sz w:val="16"/>
              <w:szCs w:val="16"/>
              <w:lang w:val="it-IT" w:eastAsia="it-IT" w:bidi="ar-SA"/>
            </w:rPr>
            <w:t>Nazionale Bagnoli-Coroglio</w:t>
          </w:r>
        </w:p>
        <w:p>
          <w:pPr>
            <w:pStyle w:val="Intestazione"/>
            <w:widowControl/>
            <w:spacing w:before="0" w:after="0"/>
            <w:jc w:val="left"/>
            <w:rPr>
              <w:rFonts w:ascii="Aptos" w:hAnsi="Aptos" w:eastAsia="Aptos" w:cs=""/>
              <w:lang w:val="it-IT" w:eastAsia="en-US" w:bidi="ar-SA"/>
            </w:rPr>
          </w:pPr>
          <w:r>
            <w:rPr>
              <w:rFonts w:eastAsia="Aptos" w:cs=""/>
              <w:lang w:val="it-IT" w:eastAsia="en-US" w:bidi="ar-SA"/>
            </w:rPr>
          </w:r>
        </w:p>
      </w:tc>
      <w:tc>
        <w:tcPr>
          <w:tcW w:w="4606" w:type="dxa"/>
          <w:tcBorders>
            <w:top w:val="nil"/>
            <w:left w:val="nil"/>
            <w:bottom w:val="nil"/>
            <w:right w:val="nil"/>
          </w:tcBorders>
        </w:tcPr>
        <w:p>
          <w:pPr>
            <w:pStyle w:val="Intestazione"/>
            <w:widowControl/>
            <w:tabs>
              <w:tab w:val="left" w:pos="1060" w:leader="none"/>
              <w:tab w:val="center" w:pos="2195" w:leader="none"/>
              <w:tab w:val="center" w:pos="4819" w:leader="none"/>
              <w:tab w:val="right" w:pos="9638" w:leader="none"/>
            </w:tabs>
            <w:spacing w:before="0" w:after="0"/>
            <w:jc w:val="left"/>
            <w:rPr>
              <w:rFonts w:ascii="Aptos" w:hAnsi="Aptos" w:eastAsia="Aptos" w:cs=""/>
              <w:lang w:val="it-IT" w:eastAsia="en-US" w:bidi="ar-SA"/>
            </w:rPr>
          </w:pPr>
          <w:r>
            <w:rPr>
              <w:rFonts w:eastAsia="Aptos" w:cs=""/>
              <w:lang w:val="it-IT" w:eastAsia="en-US" w:bidi="ar-SA"/>
            </w:rPr>
            <w:tab/>
            <w:tab/>
          </w:r>
          <w:r>
            <w:rPr>
              <w:rFonts w:eastAsia="Aptos" w:cs=""/>
              <w:lang w:val="it-IT" w:eastAsia="en-US" w:bidi="ar-SA"/>
            </w:rPr>
            <w:drawing>
              <wp:inline distT="0" distB="0" distL="0" distR="0">
                <wp:extent cx="1165225" cy="1080135"/>
                <wp:effectExtent l="0" t="0" r="0" b="0"/>
                <wp:docPr id="3" name="Immagine 4" descr="Immagine che contiene schermata, Elementi grafici, grafic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4" descr="Immagine che contiene schermata, Elementi grafici, grafica, design&#10;&#10;Il contenuto generato dall'IA potrebbe non essere corretto."/>
                        <pic:cNvPicPr>
                          <a:picLocks noChangeAspect="1" noChangeArrowheads="1"/>
                        </pic:cNvPicPr>
                      </pic:nvPicPr>
                      <pic:blipFill>
                        <a:blip r:embed="rId3"/>
                        <a:srcRect l="0" t="6728" r="0" b="0"/>
                        <a:stretch>
                          <a:fillRect/>
                        </a:stretch>
                      </pic:blipFill>
                      <pic:spPr bwMode="auto">
                        <a:xfrm>
                          <a:off x="0" y="0"/>
                          <a:ext cx="1165225" cy="1080135"/>
                        </a:xfrm>
                        <a:prstGeom prst="rect">
                          <a:avLst/>
                        </a:prstGeom>
                      </pic:spPr>
                    </pic:pic>
                  </a:graphicData>
                </a:graphic>
              </wp:inline>
            </w:drawing>
          </w:r>
        </w:p>
      </w:tc>
    </w:tr>
  </w:tbl>
  <w:p>
    <w:pPr>
      <w:pStyle w:val="Intestazion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it-IT"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160"/>
      <w:jc w:val="left"/>
    </w:pPr>
    <w:rPr>
      <w:rFonts w:ascii="Aptos" w:hAnsi="Aptos" w:eastAsia="Aptos" w:cs="" w:asciiTheme="minorHAnsi" w:cstheme="minorBidi" w:eastAsiaTheme="minorHAnsi" w:hAnsiTheme="minorHAnsi"/>
      <w:color w:val="auto"/>
      <w:kern w:val="2"/>
      <w:sz w:val="24"/>
      <w:szCs w:val="24"/>
      <w:lang w:val="it-IT" w:eastAsia="en-US" w:bidi="ar-SA"/>
      <w14:ligatures w14:val="standardContextual"/>
    </w:rPr>
  </w:style>
  <w:style w:type="paragraph" w:styleId="Titolo1">
    <w:name w:val="Heading 1"/>
    <w:basedOn w:val="Normal"/>
    <w:next w:val="Normal"/>
    <w:link w:val="Titolo1Carattere"/>
    <w:uiPriority w:val="9"/>
    <w:qFormat/>
    <w:rsid w:val="00d97bdc"/>
    <w:pPr>
      <w:tabs>
        <w:tab w:val="clear" w:pos="708"/>
        <w:tab w:val="left" w:pos="567" w:leader="none"/>
      </w:tabs>
      <w:ind w:left="567" w:hanging="567"/>
      <w:jc w:val="both"/>
      <w:outlineLvl w:val="0"/>
    </w:pPr>
    <w:rPr>
      <w:rFonts w:ascii="Arial" w:hAnsi="Arial" w:cs="Arial"/>
      <w:b/>
      <w:bCs/>
      <w:sz w:val="22"/>
      <w:szCs w:val="22"/>
    </w:rPr>
  </w:style>
  <w:style w:type="paragraph" w:styleId="Titolo2">
    <w:name w:val="Heading 2"/>
    <w:basedOn w:val="Normal"/>
    <w:next w:val="Normal"/>
    <w:link w:val="Titolo2Carattere"/>
    <w:uiPriority w:val="9"/>
    <w:semiHidden/>
    <w:unhideWhenUsed/>
    <w:qFormat/>
    <w:rsid w:val="00fe3ee9"/>
    <w:pPr>
      <w:keepNext w:val="true"/>
      <w:keepLines/>
      <w:spacing w:before="160" w:after="80"/>
      <w:outlineLvl w:val="1"/>
    </w:pPr>
    <w:rPr>
      <w:rFonts w:ascii="Aptos Display" w:hAnsi="Aptos Display" w:eastAsia="" w:cs="" w:asciiTheme="majorHAnsi" w:cstheme="majorBidi" w:eastAsiaTheme="majorEastAsia" w:hAnsiTheme="majorHAnsi"/>
      <w:color w:val="0F4761" w:themeColor="accent1" w:themeShade="bf"/>
      <w:sz w:val="32"/>
      <w:szCs w:val="32"/>
    </w:rPr>
  </w:style>
  <w:style w:type="paragraph" w:styleId="Titolo3">
    <w:name w:val="Heading 3"/>
    <w:basedOn w:val="Normal"/>
    <w:next w:val="Normal"/>
    <w:link w:val="Titolo3Carattere"/>
    <w:uiPriority w:val="9"/>
    <w:semiHidden/>
    <w:unhideWhenUsed/>
    <w:qFormat/>
    <w:rsid w:val="00fe3ee9"/>
    <w:pPr>
      <w:keepNext w:val="true"/>
      <w:keepLines/>
      <w:spacing w:before="160" w:after="80"/>
      <w:outlineLvl w:val="2"/>
    </w:pPr>
    <w:rPr>
      <w:rFonts w:eastAsia="" w:cs="" w:cstheme="majorBidi" w:eastAsiaTheme="majorEastAsia"/>
      <w:color w:val="0F4761" w:themeColor="accent1" w:themeShade="bf"/>
      <w:sz w:val="28"/>
      <w:szCs w:val="28"/>
    </w:rPr>
  </w:style>
  <w:style w:type="paragraph" w:styleId="Titolo4">
    <w:name w:val="Heading 4"/>
    <w:basedOn w:val="Normal"/>
    <w:next w:val="Normal"/>
    <w:link w:val="Titolo4Carattere"/>
    <w:uiPriority w:val="9"/>
    <w:semiHidden/>
    <w:unhideWhenUsed/>
    <w:qFormat/>
    <w:rsid w:val="00fe3ee9"/>
    <w:pPr>
      <w:keepNext w:val="true"/>
      <w:keepLines/>
      <w:spacing w:before="80" w:after="40"/>
      <w:outlineLvl w:val="3"/>
    </w:pPr>
    <w:rPr>
      <w:rFonts w:eastAsia="" w:cs="" w:cstheme="majorBidi" w:eastAsiaTheme="majorEastAsia"/>
      <w:i/>
      <w:iCs/>
      <w:color w:val="0F4761" w:themeColor="accent1" w:themeShade="bf"/>
    </w:rPr>
  </w:style>
  <w:style w:type="paragraph" w:styleId="Titolo5">
    <w:name w:val="Heading 5"/>
    <w:basedOn w:val="Normal"/>
    <w:next w:val="Normal"/>
    <w:link w:val="Titolo5Carattere"/>
    <w:uiPriority w:val="9"/>
    <w:semiHidden/>
    <w:unhideWhenUsed/>
    <w:qFormat/>
    <w:rsid w:val="00fe3ee9"/>
    <w:pPr>
      <w:keepNext w:val="true"/>
      <w:keepLines/>
      <w:spacing w:before="80" w:after="40"/>
      <w:outlineLvl w:val="4"/>
    </w:pPr>
    <w:rPr>
      <w:rFonts w:eastAsia="" w:cs="" w:cstheme="majorBidi" w:eastAsiaTheme="majorEastAsia"/>
      <w:color w:val="0F4761" w:themeColor="accent1" w:themeShade="bf"/>
    </w:rPr>
  </w:style>
  <w:style w:type="paragraph" w:styleId="Titolo6">
    <w:name w:val="Heading 6"/>
    <w:basedOn w:val="Normal"/>
    <w:next w:val="Normal"/>
    <w:link w:val="Titolo6Carattere"/>
    <w:uiPriority w:val="9"/>
    <w:semiHidden/>
    <w:unhideWhenUsed/>
    <w:qFormat/>
    <w:rsid w:val="00fe3ee9"/>
    <w:pPr>
      <w:keepNext w:val="true"/>
      <w:keepLines/>
      <w:spacing w:before="40" w:after="0"/>
      <w:outlineLvl w:val="5"/>
    </w:pPr>
    <w:rPr>
      <w:rFonts w:eastAsia="" w:cs="" w:cstheme="majorBidi" w:eastAsiaTheme="majorEastAsia"/>
      <w:i/>
      <w:iCs/>
      <w:color w:val="595959" w:themeColor="text1" w:themeTint="a6"/>
    </w:rPr>
  </w:style>
  <w:style w:type="paragraph" w:styleId="Titolo7">
    <w:name w:val="Heading 7"/>
    <w:basedOn w:val="Normal"/>
    <w:next w:val="Normal"/>
    <w:link w:val="Titolo7Carattere"/>
    <w:uiPriority w:val="9"/>
    <w:semiHidden/>
    <w:unhideWhenUsed/>
    <w:qFormat/>
    <w:rsid w:val="00fe3ee9"/>
    <w:pPr>
      <w:keepNext w:val="true"/>
      <w:keepLines/>
      <w:spacing w:before="40" w:after="0"/>
      <w:outlineLvl w:val="6"/>
    </w:pPr>
    <w:rPr>
      <w:rFonts w:eastAsia="" w:cs="" w:cstheme="majorBidi" w:eastAsiaTheme="majorEastAsia"/>
      <w:color w:val="595959" w:themeColor="text1" w:themeTint="a6"/>
    </w:rPr>
  </w:style>
  <w:style w:type="paragraph" w:styleId="Titolo8">
    <w:name w:val="Heading 8"/>
    <w:basedOn w:val="Normal"/>
    <w:next w:val="Normal"/>
    <w:link w:val="Titolo8Carattere"/>
    <w:uiPriority w:val="9"/>
    <w:semiHidden/>
    <w:unhideWhenUsed/>
    <w:qFormat/>
    <w:rsid w:val="00fe3ee9"/>
    <w:pPr>
      <w:keepNext w:val="true"/>
      <w:keepLines/>
      <w:spacing w:before="0" w:after="0"/>
      <w:outlineLvl w:val="7"/>
    </w:pPr>
    <w:rPr>
      <w:rFonts w:eastAsia="" w:cs="" w:cstheme="majorBidi" w:eastAsiaTheme="majorEastAsia"/>
      <w:i/>
      <w:iCs/>
      <w:color w:val="272727" w:themeColor="text1" w:themeTint="d8"/>
    </w:rPr>
  </w:style>
  <w:style w:type="paragraph" w:styleId="Titolo9">
    <w:name w:val="Heading 9"/>
    <w:basedOn w:val="Normal"/>
    <w:next w:val="Normal"/>
    <w:link w:val="Titolo9Carattere"/>
    <w:uiPriority w:val="9"/>
    <w:semiHidden/>
    <w:unhideWhenUsed/>
    <w:qFormat/>
    <w:rsid w:val="00fe3ee9"/>
    <w:pPr>
      <w:keepNext w:val="true"/>
      <w:keepLines/>
      <w:spacing w:before="0" w:after="0"/>
      <w:outlineLvl w:val="8"/>
    </w:pPr>
    <w:rPr>
      <w:rFonts w:eastAsia="" w:cs="" w:cstheme="majorBidi" w:eastAsiaTheme="majorEastAsia"/>
      <w:color w:val="272727" w:themeColor="text1" w:themeTint="d8"/>
    </w:rPr>
  </w:style>
  <w:style w:type="character" w:styleId="DefaultParagraphFont" w:default="1">
    <w:name w:val="Default Paragraph Font"/>
    <w:uiPriority w:val="1"/>
    <w:semiHidden/>
    <w:unhideWhenUsed/>
    <w:qFormat/>
    <w:rPr/>
  </w:style>
  <w:style w:type="character" w:styleId="Titolo1Carattere" w:customStyle="1">
    <w:name w:val="Titolo 1 Carattere"/>
    <w:basedOn w:val="DefaultParagraphFont"/>
    <w:uiPriority w:val="9"/>
    <w:qFormat/>
    <w:rsid w:val="00d97bdc"/>
    <w:rPr>
      <w:rFonts w:ascii="Arial" w:hAnsi="Arial" w:cs="Arial"/>
      <w:b/>
      <w:bCs/>
      <w:sz w:val="22"/>
      <w:szCs w:val="22"/>
    </w:rPr>
  </w:style>
  <w:style w:type="character" w:styleId="Titolo2Carattere" w:customStyle="1">
    <w:name w:val="Titolo 2 Carattere"/>
    <w:basedOn w:val="DefaultParagraphFont"/>
    <w:uiPriority w:val="9"/>
    <w:semiHidden/>
    <w:qFormat/>
    <w:rsid w:val="00fe3ee9"/>
    <w:rPr>
      <w:rFonts w:ascii="Aptos Display" w:hAnsi="Aptos Display" w:eastAsia="" w:cs="" w:asciiTheme="majorHAnsi" w:cstheme="majorBidi" w:eastAsiaTheme="majorEastAsia" w:hAnsiTheme="majorHAnsi"/>
      <w:color w:val="0F4761" w:themeColor="accent1" w:themeShade="bf"/>
      <w:sz w:val="32"/>
      <w:szCs w:val="32"/>
    </w:rPr>
  </w:style>
  <w:style w:type="character" w:styleId="Titolo3Carattere" w:customStyle="1">
    <w:name w:val="Titolo 3 Carattere"/>
    <w:basedOn w:val="DefaultParagraphFont"/>
    <w:uiPriority w:val="9"/>
    <w:semiHidden/>
    <w:qFormat/>
    <w:rsid w:val="00fe3ee9"/>
    <w:rPr>
      <w:rFonts w:eastAsia="" w:cs="" w:cstheme="majorBidi" w:eastAsiaTheme="majorEastAsia"/>
      <w:color w:val="0F4761" w:themeColor="accent1" w:themeShade="bf"/>
      <w:sz w:val="28"/>
      <w:szCs w:val="28"/>
    </w:rPr>
  </w:style>
  <w:style w:type="character" w:styleId="Titolo4Carattere" w:customStyle="1">
    <w:name w:val="Titolo 4 Carattere"/>
    <w:basedOn w:val="DefaultParagraphFont"/>
    <w:uiPriority w:val="9"/>
    <w:semiHidden/>
    <w:qFormat/>
    <w:rsid w:val="00fe3ee9"/>
    <w:rPr>
      <w:rFonts w:eastAsia="" w:cs="" w:cstheme="majorBidi" w:eastAsiaTheme="majorEastAsia"/>
      <w:i/>
      <w:iCs/>
      <w:color w:val="0F4761" w:themeColor="accent1" w:themeShade="bf"/>
    </w:rPr>
  </w:style>
  <w:style w:type="character" w:styleId="Titolo5Carattere" w:customStyle="1">
    <w:name w:val="Titolo 5 Carattere"/>
    <w:basedOn w:val="DefaultParagraphFont"/>
    <w:uiPriority w:val="9"/>
    <w:semiHidden/>
    <w:qFormat/>
    <w:rsid w:val="00fe3ee9"/>
    <w:rPr>
      <w:rFonts w:eastAsia="" w:cs="" w:cstheme="majorBidi" w:eastAsiaTheme="majorEastAsia"/>
      <w:color w:val="0F4761" w:themeColor="accent1" w:themeShade="bf"/>
    </w:rPr>
  </w:style>
  <w:style w:type="character" w:styleId="Titolo6Carattere" w:customStyle="1">
    <w:name w:val="Titolo 6 Carattere"/>
    <w:basedOn w:val="DefaultParagraphFont"/>
    <w:uiPriority w:val="9"/>
    <w:semiHidden/>
    <w:qFormat/>
    <w:rsid w:val="00fe3ee9"/>
    <w:rPr>
      <w:rFonts w:eastAsia="" w:cs="" w:cstheme="majorBidi" w:eastAsiaTheme="majorEastAsia"/>
      <w:i/>
      <w:iCs/>
      <w:color w:val="595959" w:themeColor="text1" w:themeTint="a6"/>
    </w:rPr>
  </w:style>
  <w:style w:type="character" w:styleId="Titolo7Carattere" w:customStyle="1">
    <w:name w:val="Titolo 7 Carattere"/>
    <w:basedOn w:val="DefaultParagraphFont"/>
    <w:uiPriority w:val="9"/>
    <w:semiHidden/>
    <w:qFormat/>
    <w:rsid w:val="00fe3ee9"/>
    <w:rPr>
      <w:rFonts w:eastAsia="" w:cs="" w:cstheme="majorBidi" w:eastAsiaTheme="majorEastAsia"/>
      <w:color w:val="595959" w:themeColor="text1" w:themeTint="a6"/>
    </w:rPr>
  </w:style>
  <w:style w:type="character" w:styleId="Titolo8Carattere" w:customStyle="1">
    <w:name w:val="Titolo 8 Carattere"/>
    <w:basedOn w:val="DefaultParagraphFont"/>
    <w:uiPriority w:val="9"/>
    <w:semiHidden/>
    <w:qFormat/>
    <w:rsid w:val="00fe3ee9"/>
    <w:rPr>
      <w:rFonts w:eastAsia="" w:cs="" w:cstheme="majorBidi" w:eastAsiaTheme="majorEastAsia"/>
      <w:i/>
      <w:iCs/>
      <w:color w:val="272727" w:themeColor="text1" w:themeTint="d8"/>
    </w:rPr>
  </w:style>
  <w:style w:type="character" w:styleId="Titolo9Carattere" w:customStyle="1">
    <w:name w:val="Titolo 9 Carattere"/>
    <w:basedOn w:val="DefaultParagraphFont"/>
    <w:uiPriority w:val="9"/>
    <w:semiHidden/>
    <w:qFormat/>
    <w:rsid w:val="00fe3ee9"/>
    <w:rPr>
      <w:rFonts w:eastAsia="" w:cs="" w:cstheme="majorBidi" w:eastAsiaTheme="majorEastAsia"/>
      <w:color w:val="272727" w:themeColor="text1" w:themeTint="d8"/>
    </w:rPr>
  </w:style>
  <w:style w:type="character" w:styleId="TitoloCarattere" w:customStyle="1">
    <w:name w:val="Titolo Carattere"/>
    <w:basedOn w:val="DefaultParagraphFont"/>
    <w:uiPriority w:val="10"/>
    <w:qFormat/>
    <w:rsid w:val="00fe3ee9"/>
    <w:rPr>
      <w:rFonts w:ascii="Aptos Display" w:hAnsi="Aptos Display" w:eastAsia="" w:cs="" w:asciiTheme="majorHAnsi" w:cstheme="majorBidi" w:eastAsiaTheme="majorEastAsia" w:hAnsiTheme="majorHAnsi"/>
      <w:spacing w:val="-10"/>
      <w:kern w:val="2"/>
      <w:sz w:val="56"/>
      <w:szCs w:val="56"/>
    </w:rPr>
  </w:style>
  <w:style w:type="character" w:styleId="SottotitoloCarattere" w:customStyle="1">
    <w:name w:val="Sottotitolo Carattere"/>
    <w:basedOn w:val="DefaultParagraphFont"/>
    <w:uiPriority w:val="11"/>
    <w:qFormat/>
    <w:rsid w:val="00fe3ee9"/>
    <w:rPr>
      <w:rFonts w:eastAsia="" w:cs="" w:cstheme="majorBidi" w:eastAsiaTheme="majorEastAsia"/>
      <w:color w:val="595959" w:themeColor="text1" w:themeTint="a6"/>
      <w:spacing w:val="15"/>
      <w:sz w:val="28"/>
      <w:szCs w:val="28"/>
    </w:rPr>
  </w:style>
  <w:style w:type="character" w:styleId="CitazioneCarattere" w:customStyle="1">
    <w:name w:val="Citazione Carattere"/>
    <w:basedOn w:val="DefaultParagraphFont"/>
    <w:link w:val="Quote"/>
    <w:uiPriority w:val="29"/>
    <w:qFormat/>
    <w:rsid w:val="00fe3ee9"/>
    <w:rPr>
      <w:i/>
      <w:iCs/>
      <w:color w:val="404040" w:themeColor="text1" w:themeTint="bf"/>
    </w:rPr>
  </w:style>
  <w:style w:type="character" w:styleId="IntenseEmphasis">
    <w:name w:val="Intense Emphasis"/>
    <w:basedOn w:val="DefaultParagraphFont"/>
    <w:uiPriority w:val="21"/>
    <w:qFormat/>
    <w:rsid w:val="00fe3ee9"/>
    <w:rPr>
      <w:i/>
      <w:iCs/>
      <w:color w:val="0F4761" w:themeColor="accent1" w:themeShade="bf"/>
    </w:rPr>
  </w:style>
  <w:style w:type="character" w:styleId="CitazioneintensaCarattere" w:customStyle="1">
    <w:name w:val="Citazione intensa Carattere"/>
    <w:basedOn w:val="DefaultParagraphFont"/>
    <w:link w:val="IntenseQuote"/>
    <w:uiPriority w:val="30"/>
    <w:qFormat/>
    <w:rsid w:val="00fe3ee9"/>
    <w:rPr>
      <w:i/>
      <w:iCs/>
      <w:color w:val="0F4761" w:themeColor="accent1" w:themeShade="bf"/>
    </w:rPr>
  </w:style>
  <w:style w:type="character" w:styleId="IntenseReference">
    <w:name w:val="Intense Reference"/>
    <w:basedOn w:val="DefaultParagraphFont"/>
    <w:uiPriority w:val="32"/>
    <w:qFormat/>
    <w:rsid w:val="00fe3ee9"/>
    <w:rPr>
      <w:b/>
      <w:bCs/>
      <w:smallCaps/>
      <w:color w:val="0F4761" w:themeColor="accent1" w:themeShade="bf"/>
      <w:spacing w:val="5"/>
    </w:rPr>
  </w:style>
  <w:style w:type="character" w:styleId="CollegamentoInternet">
    <w:name w:val="Collegamento Internet"/>
    <w:basedOn w:val="DefaultParagraphFont"/>
    <w:uiPriority w:val="99"/>
    <w:unhideWhenUsed/>
    <w:rsid w:val="00886dc8"/>
    <w:rPr>
      <w:color w:val="467886" w:themeColor="hyperlink"/>
      <w:u w:val="single"/>
    </w:rPr>
  </w:style>
  <w:style w:type="character" w:styleId="IntestazioneCarattere" w:customStyle="1">
    <w:name w:val="Intestazione Carattere"/>
    <w:basedOn w:val="DefaultParagraphFont"/>
    <w:uiPriority w:val="99"/>
    <w:qFormat/>
    <w:rsid w:val="00530073"/>
    <w:rPr>
      <w:kern w:val="0"/>
      <w:sz w:val="22"/>
      <w:szCs w:val="22"/>
      <w14:ligatures w14:val="none"/>
    </w:rPr>
  </w:style>
  <w:style w:type="character" w:styleId="PidipaginaCarattere" w:customStyle="1">
    <w:name w:val="Piè di pagina Carattere"/>
    <w:basedOn w:val="DefaultParagraphFont"/>
    <w:uiPriority w:val="99"/>
    <w:qFormat/>
    <w:rsid w:val="001837ce"/>
    <w:rPr/>
  </w:style>
  <w:style w:type="character" w:styleId="Saltoaindice">
    <w:name w:val="Salto a indice"/>
    <w:qFormat/>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lang w:val="zxx" w:eastAsia="zxx" w:bidi="zxx"/>
    </w:rPr>
  </w:style>
  <w:style w:type="paragraph" w:styleId="Titoloprincipale">
    <w:name w:val="Title"/>
    <w:basedOn w:val="Normal"/>
    <w:next w:val="Normal"/>
    <w:link w:val="TitoloCarattere"/>
    <w:uiPriority w:val="10"/>
    <w:qFormat/>
    <w:rsid w:val="00fe3ee9"/>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ottotitolo">
    <w:name w:val="Subtitle"/>
    <w:basedOn w:val="Normal"/>
    <w:next w:val="Normal"/>
    <w:link w:val="SottotitoloCarattere"/>
    <w:uiPriority w:val="11"/>
    <w:qFormat/>
    <w:rsid w:val="00fe3ee9"/>
    <w:pPr/>
    <w:rPr>
      <w:rFonts w:eastAsia="" w:cs="" w:cstheme="majorBidi" w:eastAsiaTheme="majorEastAsia"/>
      <w:color w:val="595959" w:themeColor="text1" w:themeTint="a6"/>
      <w:spacing w:val="15"/>
      <w:sz w:val="28"/>
      <w:szCs w:val="28"/>
    </w:rPr>
  </w:style>
  <w:style w:type="paragraph" w:styleId="Quote">
    <w:name w:val="Quote"/>
    <w:basedOn w:val="Normal"/>
    <w:next w:val="Normal"/>
    <w:link w:val="CitazioneCarattere"/>
    <w:uiPriority w:val="29"/>
    <w:qFormat/>
    <w:rsid w:val="00fe3ee9"/>
    <w:pPr>
      <w:spacing w:before="160" w:after="160"/>
      <w:jc w:val="center"/>
    </w:pPr>
    <w:rPr>
      <w:i/>
      <w:iCs/>
      <w:color w:val="404040" w:themeColor="text1" w:themeTint="bf"/>
    </w:rPr>
  </w:style>
  <w:style w:type="paragraph" w:styleId="ListParagraph">
    <w:name w:val="List Paragraph"/>
    <w:basedOn w:val="Normal"/>
    <w:uiPriority w:val="34"/>
    <w:qFormat/>
    <w:rsid w:val="00fe3ee9"/>
    <w:pPr>
      <w:spacing w:before="0" w:after="160"/>
      <w:ind w:left="720" w:hanging="0"/>
      <w:contextualSpacing/>
    </w:pPr>
    <w:rPr/>
  </w:style>
  <w:style w:type="paragraph" w:styleId="IntenseQuote">
    <w:name w:val="Intense Quote"/>
    <w:basedOn w:val="Normal"/>
    <w:next w:val="Normal"/>
    <w:link w:val="CitazioneintensaCarattere"/>
    <w:uiPriority w:val="30"/>
    <w:qFormat/>
    <w:rsid w:val="00fe3ee9"/>
    <w:pPr>
      <w:pBdr>
        <w:top w:val="single" w:sz="4" w:space="10" w:color="0F4761"/>
        <w:bottom w:val="single" w:sz="4" w:space="10" w:color="0F4761"/>
      </w:pBdr>
      <w:spacing w:before="360" w:after="360"/>
      <w:ind w:left="864" w:right="864" w:hanging="0"/>
      <w:jc w:val="center"/>
    </w:pPr>
    <w:rPr>
      <w:i/>
      <w:iCs/>
      <w:color w:val="0F4761" w:themeColor="accent1" w:themeShade="bf"/>
    </w:rPr>
  </w:style>
  <w:style w:type="paragraph" w:styleId="Testo" w:customStyle="1">
    <w:name w:val="Testo"/>
    <w:basedOn w:val="Normal"/>
    <w:qFormat/>
    <w:rsid w:val="009a1ae9"/>
    <w:pPr>
      <w:spacing w:lineRule="auto" w:line="259" w:before="0" w:after="100"/>
      <w:jc w:val="both"/>
    </w:pPr>
    <w:rPr>
      <w:rFonts w:ascii="Arial" w:hAnsi="Arial" w:cs="Arial"/>
      <w:kern w:val="0"/>
      <w:sz w:val="22"/>
      <w:szCs w:val="22"/>
      <w14:ligatures w14:val="none"/>
    </w:rPr>
  </w:style>
  <w:style w:type="paragraph" w:styleId="Titoloindiceanalitico">
    <w:name w:val="Index Heading"/>
    <w:basedOn w:val="Titolo"/>
    <w:pPr/>
    <w:rPr/>
  </w:style>
  <w:style w:type="paragraph" w:styleId="Titoloindice">
    <w:name w:val="TOC Heading"/>
    <w:basedOn w:val="Titolo1"/>
    <w:next w:val="Normal"/>
    <w:uiPriority w:val="39"/>
    <w:unhideWhenUsed/>
    <w:qFormat/>
    <w:rsid w:val="00886dc8"/>
    <w:pPr>
      <w:keepNext w:val="true"/>
      <w:keepLines/>
      <w:tabs>
        <w:tab w:val="clear" w:pos="567"/>
      </w:tabs>
      <w:spacing w:lineRule="auto" w:line="259" w:before="240" w:after="0"/>
      <w:ind w:left="0" w:hanging="0"/>
      <w:jc w:val="left"/>
      <w:outlineLvl w:val="9"/>
    </w:pPr>
    <w:rPr>
      <w:rFonts w:ascii="Aptos Display" w:hAnsi="Aptos Display" w:eastAsia="" w:cs="" w:asciiTheme="majorHAnsi" w:cstheme="majorBidi" w:eastAsiaTheme="majorEastAsia" w:hAnsiTheme="majorHAnsi"/>
      <w:b w:val="false"/>
      <w:bCs w:val="false"/>
      <w:color w:val="0F4761" w:themeColor="accent1" w:themeShade="bf"/>
      <w:kern w:val="0"/>
      <w:sz w:val="32"/>
      <w:szCs w:val="32"/>
      <w:lang w:eastAsia="it-IT"/>
      <w14:ligatures w14:val="none"/>
    </w:rPr>
  </w:style>
  <w:style w:type="paragraph" w:styleId="Indice1">
    <w:name w:val="TOC 1"/>
    <w:basedOn w:val="Normal"/>
    <w:next w:val="Normal"/>
    <w:autoRedefine/>
    <w:uiPriority w:val="39"/>
    <w:unhideWhenUsed/>
    <w:rsid w:val="00886dc8"/>
    <w:pPr>
      <w:spacing w:before="0" w:after="100"/>
    </w:pPr>
    <w:rPr/>
  </w:style>
  <w:style w:type="paragraph" w:styleId="Intestazioneepidipagina">
    <w:name w:val="Intestazione e piè di pagina"/>
    <w:basedOn w:val="Normal"/>
    <w:qFormat/>
    <w:pPr/>
    <w:rPr/>
  </w:style>
  <w:style w:type="paragraph" w:styleId="Intestazione">
    <w:name w:val="Header"/>
    <w:basedOn w:val="Normal"/>
    <w:link w:val="IntestazioneCarattere"/>
    <w:uiPriority w:val="99"/>
    <w:unhideWhenUsed/>
    <w:rsid w:val="00530073"/>
    <w:pPr>
      <w:tabs>
        <w:tab w:val="clear" w:pos="708"/>
        <w:tab w:val="center" w:pos="4819" w:leader="none"/>
        <w:tab w:val="right" w:pos="9638" w:leader="none"/>
      </w:tabs>
      <w:spacing w:lineRule="auto" w:line="240" w:before="0" w:after="0"/>
    </w:pPr>
    <w:rPr>
      <w:kern w:val="0"/>
      <w:sz w:val="22"/>
      <w:szCs w:val="22"/>
      <w14:ligatures w14:val="none"/>
    </w:rPr>
  </w:style>
  <w:style w:type="paragraph" w:styleId="Pidipagina">
    <w:name w:val="Footer"/>
    <w:basedOn w:val="Normal"/>
    <w:link w:val="PidipaginaCarattere"/>
    <w:uiPriority w:val="99"/>
    <w:unhideWhenUsed/>
    <w:rsid w:val="001837ce"/>
    <w:pPr>
      <w:tabs>
        <w:tab w:val="clear" w:pos="708"/>
        <w:tab w:val="center" w:pos="4819" w:leader="none"/>
        <w:tab w:val="right" w:pos="9638" w:leader="none"/>
      </w:tabs>
      <w:spacing w:lineRule="auto" w:line="240" w:before="0" w:after="0"/>
    </w:pPr>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styleId="Grigliatabella">
    <w:name w:val="Table Grid"/>
    <w:basedOn w:val="Tabellanormale"/>
    <w:uiPriority w:val="39"/>
    <w:rsid w:val="00530073"/>
    <w:pPr>
      <w:spacing w:after="0" w:line="240" w:lineRule="auto"/>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oleObject" Target="embeddings/oleObject2.bin"/><Relationship Id="rId2" Type="http://schemas.openxmlformats.org/officeDocument/2006/relationships/image" Target="media/image4.png"/><Relationship Id="rId3" Type="http://schemas.openxmlformats.org/officeDocument/2006/relationships/image" Target="media/image2.pn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40451-B01E-43F8-AA62-49E7507CD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Application>LibreOffice/7.3.2.2$Windows_X86_64 LibreOffice_project/49f2b1bff42cfccbd8f788c8dc32c1c309559be0</Application>
  <AppVersion>15.0000</AppVersion>
  <Pages>7</Pages>
  <Words>3298</Words>
  <Characters>19801</Characters>
  <CharactersWithSpaces>23013</CharactersWithSpaces>
  <Paragraphs>122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2026-03-02T12:03:00Z</dcterms:created>
  <dc:creator>ROSARIA BATTARRA</dc:creator>
  <dc:description/>
  <dc:language>it-IT</dc:language>
  <cp:lastModifiedBy>ROSARIA BATTARRA</cp:lastModifiedBy>
  <dcterms:modified xsi:type="dcterms:W3CDTF">2026-03-02T14:32:00Z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ActionId">
    <vt:lpwstr>490fede2-64c1-4d7a-a719-5bd195b12447</vt:lpwstr>
  </property>
  <property fmtid="{D5CDD505-2E9C-101B-9397-08002B2CF9AE}" pid="3" name="MSIP_Label_2ad0b24d-6422-44b0-b3de-abb3a9e8c81a_ContentBits">
    <vt:lpwstr>0</vt:lpwstr>
  </property>
  <property fmtid="{D5CDD505-2E9C-101B-9397-08002B2CF9AE}" pid="4" name="MSIP_Label_2ad0b24d-6422-44b0-b3de-abb3a9e8c81a_Enabled">
    <vt:lpwstr>true</vt:lpwstr>
  </property>
  <property fmtid="{D5CDD505-2E9C-101B-9397-08002B2CF9AE}" pid="5" name="MSIP_Label_2ad0b24d-6422-44b0-b3de-abb3a9e8c81a_Method">
    <vt:lpwstr>Standard</vt:lpwstr>
  </property>
  <property fmtid="{D5CDD505-2E9C-101B-9397-08002B2CF9AE}" pid="6" name="MSIP_Label_2ad0b24d-6422-44b0-b3de-abb3a9e8c81a_Name">
    <vt:lpwstr>defa4170-0d19-0005-0004-bc88714345d2</vt:lpwstr>
  </property>
  <property fmtid="{D5CDD505-2E9C-101B-9397-08002B2CF9AE}" pid="7" name="MSIP_Label_2ad0b24d-6422-44b0-b3de-abb3a9e8c81a_SetDate">
    <vt:lpwstr>2026-02-25T15:45:18Z</vt:lpwstr>
  </property>
  <property fmtid="{D5CDD505-2E9C-101B-9397-08002B2CF9AE}" pid="8" name="MSIP_Label_2ad0b24d-6422-44b0-b3de-abb3a9e8c81a_SiteId">
    <vt:lpwstr>2fcfe26a-bb62-46b0-b1e3-28f9da0c45fd</vt:lpwstr>
  </property>
  <property fmtid="{D5CDD505-2E9C-101B-9397-08002B2CF9AE}" pid="9" name="MSIP_Label_2ad0b24d-6422-44b0-b3de-abb3a9e8c81a_Tag">
    <vt:lpwstr>10, 3, 0, 1</vt:lpwstr>
  </property>
</Properties>
</file>