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80" w:after="0"/>
        <w:ind w:left="143" w:right="0" w:hanging="0"/>
        <w:rPr/>
      </w:pPr>
      <w:r>
        <w:rPr/>
        <w:t>ALLEGATO</w:t>
      </w:r>
      <w:r>
        <w:rPr>
          <w:spacing w:val="-8"/>
        </w:rPr>
        <w:t xml:space="preserve"> </w:t>
      </w:r>
      <w:r>
        <w:rPr/>
        <w:t>2</w:t>
      </w:r>
      <w:r>
        <w:rPr>
          <w:spacing w:val="-8"/>
        </w:rPr>
        <w:t xml:space="preserve"> </w:t>
      </w:r>
      <w:r>
        <w:rPr/>
        <w:t>/MODELLO</w:t>
      </w:r>
      <w:r>
        <w:rPr>
          <w:spacing w:val="-8"/>
        </w:rPr>
        <w:t xml:space="preserve"> </w:t>
      </w:r>
      <w:r>
        <w:rPr/>
        <w:t>DSAN</w:t>
      </w:r>
      <w:r>
        <w:rPr>
          <w:spacing w:val="-8"/>
        </w:rPr>
        <w:t xml:space="preserve"> </w:t>
      </w:r>
      <w:r>
        <w:rPr>
          <w:spacing w:val="-2"/>
        </w:rPr>
        <w:t>REQUISITI</w:t>
      </w:r>
    </w:p>
    <w:p>
      <w:pPr>
        <w:pStyle w:val="Normal"/>
        <w:spacing w:before="204" w:after="0"/>
        <w:jc w:val="both"/>
        <w:rPr/>
      </w:pPr>
      <w:r>
        <w:rPr>
          <w:rFonts w:eastAsia="Times New Roman" w:cs="Times New Roman"/>
          <w:color w:val="000008"/>
          <w:kern w:val="0"/>
          <w:sz w:val="26"/>
          <w:szCs w:val="26"/>
          <w:lang w:val="it-IT" w:eastAsia="en-US" w:bidi="ar-SA"/>
        </w:rPr>
        <w:t xml:space="preserve">Avviso Pubblico finalizzato alla presentazione di offerte per la fornitura di arredi e attrezzature inerenti l’allestimento del Centro Polifunzionale per Famiglie </w:t>
      </w:r>
      <w:r>
        <w:rPr>
          <w:rFonts w:eastAsia="Times New Roman" w:cs="Times New Roman"/>
          <w:b w:val="false"/>
          <w:b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 xml:space="preserve">sito in Via Il Flauto Magico, nell’ambito dell’Avviso Pubblico ANCI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8"/>
          <w:kern w:val="0"/>
          <w:sz w:val="26"/>
          <w:szCs w:val="26"/>
          <w:shd w:fill="auto" w:val="clear"/>
          <w:lang w:val="it-IT" w:eastAsia="en-US" w:bidi="ar-SA"/>
        </w:rPr>
        <w:t>per la presentazione di proposte progettuali rivolte all’assegnazione di spazi/immobili pubblici a giovani under 35 per la realizzazione di progetti innovativi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8"/>
          <w:spacing w:val="-2"/>
          <w:kern w:val="0"/>
          <w:sz w:val="26"/>
          <w:szCs w:val="26"/>
          <w:shd w:fill="auto" w:val="clear"/>
          <w:lang w:val="it-IT" w:eastAsia="en-US" w:bidi="ar-SA"/>
        </w:rPr>
        <w:t>.</w:t>
      </w:r>
    </w:p>
    <w:p>
      <w:pPr>
        <w:pStyle w:val="Titolo1"/>
        <w:spacing w:before="281" w:after="0"/>
        <w:ind w:left="4412" w:right="695" w:hanging="3708"/>
        <w:rPr/>
      </w:pPr>
      <w:r>
        <w:rPr>
          <w:spacing w:val="-8"/>
        </w:rPr>
        <w:t xml:space="preserve">DICHIARAZIONE DI POSSESSO DEI REQUISITI AI SENSI DELL’AVVISO </w:t>
      </w:r>
      <w:r>
        <w:rPr>
          <w:spacing w:val="-2"/>
        </w:rPr>
        <w:t>PUBBLICO</w:t>
      </w:r>
    </w:p>
    <w:p>
      <w:pPr>
        <w:pStyle w:val="Corpodeltesto"/>
        <w:ind w:left="143" w:right="0" w:hanging="0"/>
        <w:rPr/>
      </w:pPr>
      <w:r>
        <w:rPr/>
        <w:t>Il</w:t>
      </w:r>
      <w:r>
        <w:rPr>
          <w:spacing w:val="-2"/>
        </w:rPr>
        <w:t xml:space="preserve"> sottoscritto</w:t>
      </w:r>
    </w:p>
    <w:p>
      <w:pPr>
        <w:pStyle w:val="Corpodeltesto"/>
        <w:tabs>
          <w:tab w:val="clear" w:pos="720"/>
          <w:tab w:val="left" w:pos="4229" w:leader="none"/>
          <w:tab w:val="left" w:pos="5766" w:leader="none"/>
          <w:tab w:val="left" w:pos="5870" w:leader="none"/>
          <w:tab w:val="left" w:pos="6124" w:leader="none"/>
          <w:tab w:val="left" w:pos="6228" w:leader="none"/>
          <w:tab w:val="left" w:pos="6719" w:leader="none"/>
          <w:tab w:val="left" w:pos="7103" w:leader="none"/>
          <w:tab w:val="left" w:pos="7789" w:leader="none"/>
          <w:tab w:val="left" w:pos="7898" w:leader="none"/>
        </w:tabs>
        <w:spacing w:lineRule="auto" w:line="408" w:before="141" w:after="0"/>
        <w:ind w:left="143" w:right="2021" w:hanging="0"/>
        <w:rPr/>
      </w:pPr>
      <w:r>
        <w:rPr/>
        <w:t xml:space="preserve">Cognome </w:t>
      </w:r>
      <w:r>
        <w:rPr>
          <w:rFonts w:ascii="Times New Roman" w:hAnsi="Times New Roman"/>
          <w:u w:val="single"/>
        </w:rPr>
        <w:tab/>
      </w:r>
      <w:r>
        <w:rPr/>
        <w:t xml:space="preserve">Nome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Nata/o a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) il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Residente in 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</w:rPr>
        <w:t>)</w:t>
      </w:r>
    </w:p>
    <w:p>
      <w:pPr>
        <w:pStyle w:val="Corpodeltesto"/>
        <w:tabs>
          <w:tab w:val="clear" w:pos="720"/>
          <w:tab w:val="left" w:pos="7574" w:leader="none"/>
        </w:tabs>
        <w:spacing w:lineRule="exact" w:line="280"/>
        <w:ind w:left="143" w:right="0" w:hanging="0"/>
        <w:rPr>
          <w:rFonts w:ascii="Times New Roman" w:hAnsi="Times New Roman"/>
        </w:rPr>
      </w:pPr>
      <w:r>
        <w:rPr/>
        <w:t xml:space="preserve">Indirizzo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4625" w:leader="none"/>
        </w:tabs>
        <w:spacing w:before="201" w:after="0"/>
        <w:ind w:left="143" w:right="0" w:hanging="0"/>
        <w:rPr>
          <w:rFonts w:ascii="Times New Roman" w:hAnsi="Times New Roman"/>
        </w:rPr>
      </w:pPr>
      <w:r>
        <w:rPr/>
        <w:t xml:space="preserve">Codice Fiscale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4001" w:leader="none"/>
          <w:tab w:val="left" w:pos="6947" w:leader="none"/>
          <w:tab w:val="left" w:pos="7555" w:leader="none"/>
        </w:tabs>
        <w:spacing w:lineRule="auto" w:line="408" w:before="198" w:after="0"/>
        <w:ind w:left="143" w:right="2364" w:hanging="0"/>
        <w:rPr/>
      </w:pPr>
      <w:r>
        <w:rPr/>
        <w:t>Recapiti telefonici (cell.)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(fisso)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 xml:space="preserve">email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3"/>
          <w:u w:val="single"/>
        </w:rPr>
        <w:t xml:space="preserve"> </w:t>
      </w:r>
      <w:r>
        <w:rPr/>
        <w:t xml:space="preserve">PEC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In qualita,</w:t>
      </w:r>
      <w:r>
        <w:rPr>
          <w:spacing w:val="31"/>
        </w:rPr>
        <w:t xml:space="preserve"> </w:t>
      </w:r>
      <w:r>
        <w:rPr/>
        <w:t>di rappresentante legale dell’Operatore Economico</w:t>
      </w:r>
    </w:p>
    <w:p>
      <w:pPr>
        <w:pStyle w:val="Corpodeltesto"/>
        <w:spacing w:before="2" w:after="0"/>
        <w:ind w:left="0" w:right="0" w:hanging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721360</wp:posOffset>
                </wp:positionH>
                <wp:positionV relativeFrom="paragraph">
                  <wp:posOffset>120650</wp:posOffset>
                </wp:positionV>
                <wp:extent cx="4516755" cy="1270"/>
                <wp:effectExtent l="0" t="4445" r="0" b="317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6920" cy="1440"/>
                        </a:xfrm>
                        <a:custGeom>
                          <a:avLst/>
                          <a:gdLst>
                            <a:gd name="textAreaLeft" fmla="*/ 0 w 2560680"/>
                            <a:gd name="textAreaRight" fmla="*/ 2561400 w 25606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4516755" h="0">
                              <a:moveTo>
                                <a:pt x="0" y="0"/>
                              </a:moveTo>
                              <a:lnTo>
                                <a:pt x="451661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2" w:after="0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 w:before="0" w:after="0"/>
        <w:ind w:left="426" w:right="0" w:hanging="293"/>
        <w:jc w:val="left"/>
        <w:rPr>
          <w:sz w:val="24"/>
        </w:rPr>
      </w:pPr>
      <w:r>
        <w:rPr>
          <w:sz w:val="24"/>
        </w:rPr>
        <w:t>soggetto</w:t>
      </w:r>
      <w:r>
        <w:rPr>
          <w:spacing w:val="-8"/>
          <w:sz w:val="24"/>
        </w:rPr>
        <w:t xml:space="preserve"> </w:t>
      </w:r>
      <w:r>
        <w:rPr>
          <w:sz w:val="24"/>
        </w:rPr>
        <w:t>proponente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forma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singola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 w:before="141" w:after="0"/>
        <w:ind w:left="426" w:right="0" w:hanging="293"/>
        <w:jc w:val="left"/>
        <w:rPr>
          <w:sz w:val="24"/>
        </w:rPr>
      </w:pPr>
      <w:r>
        <w:rPr>
          <w:sz w:val="24"/>
        </w:rPr>
        <w:t>capofila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costituendo</w:t>
      </w:r>
      <w:r>
        <w:rPr>
          <w:spacing w:val="-12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12"/>
          <w:sz w:val="24"/>
        </w:rPr>
        <w:t xml:space="preserve"> </w:t>
      </w:r>
      <w:r>
        <w:rPr>
          <w:sz w:val="24"/>
        </w:rPr>
        <w:t>(ATI/RTI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ecc...)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40" w:before="138" w:after="0"/>
        <w:ind w:left="426" w:right="0" w:hanging="293"/>
        <w:jc w:val="left"/>
        <w:rPr>
          <w:sz w:val="24"/>
        </w:rPr>
      </w:pPr>
      <w:r>
        <w:rPr>
          <w:sz w:val="24"/>
        </w:rPr>
        <w:t>partner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costituendo</w:t>
      </w:r>
      <w:r>
        <w:rPr>
          <w:spacing w:val="-12"/>
          <w:sz w:val="24"/>
        </w:rPr>
        <w:t xml:space="preserve"> </w:t>
      </w:r>
      <w:r>
        <w:rPr>
          <w:sz w:val="24"/>
        </w:rPr>
        <w:t>raggruppamento</w:t>
      </w:r>
      <w:r>
        <w:rPr>
          <w:spacing w:val="-12"/>
          <w:sz w:val="24"/>
        </w:rPr>
        <w:t xml:space="preserve"> </w:t>
      </w:r>
      <w:r>
        <w:rPr>
          <w:sz w:val="24"/>
        </w:rPr>
        <w:t>(ATI/RTI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ecc...)</w:t>
      </w:r>
    </w:p>
    <w:p>
      <w:pPr>
        <w:pStyle w:val="Corpodeltesto"/>
        <w:spacing w:before="141" w:after="0"/>
        <w:ind w:left="143" w:right="124" w:hanging="0"/>
        <w:jc w:val="both"/>
        <w:rPr/>
      </w:pPr>
      <w:r>
        <w:rPr/>
        <w:t>consapevole delle sanzioni penali previste in caso di dichiarazioni non veritiere e di falsita, negli atti di cui all’art. 76 del D.P.R. 28 dicembre 2000, n. 445 e della conseguente decadenza dei benefici di cui all’art. 75 del citato decreto</w:t>
      </w:r>
    </w:p>
    <w:p>
      <w:pPr>
        <w:pStyle w:val="Titolo1"/>
        <w:spacing w:lineRule="exact" w:line="279"/>
        <w:jc w:val="center"/>
        <w:rPr>
          <w:spacing w:val="-2"/>
        </w:rPr>
      </w:pPr>
      <w:r>
        <w:rPr>
          <w:spacing w:val="-2"/>
        </w:rPr>
        <w:t>DICHIARA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1" w:before="59" w:after="0"/>
        <w:ind w:left="858" w:right="152" w:hanging="356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z w:val="24"/>
        </w:rPr>
        <w:t>legale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componenti</w:t>
      </w:r>
      <w:r>
        <w:rPr>
          <w:spacing w:val="-5"/>
          <w:sz w:val="24"/>
        </w:rPr>
        <w:t xml:space="preserve"> </w:t>
      </w:r>
      <w:r>
        <w:rPr>
          <w:sz w:val="24"/>
        </w:rPr>
        <w:t>dell’organo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direzione</w:t>
      </w:r>
      <w:r>
        <w:rPr>
          <w:spacing w:val="-5"/>
          <w:sz w:val="24"/>
        </w:rPr>
        <w:t xml:space="preserve"> </w:t>
      </w:r>
      <w:r>
        <w:rPr>
          <w:sz w:val="24"/>
        </w:rPr>
        <w:t>dell’Ente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-6"/>
          <w:sz w:val="24"/>
        </w:rPr>
        <w:t xml:space="preserve"> </w:t>
      </w:r>
      <w:r>
        <w:rPr>
          <w:sz w:val="24"/>
        </w:rPr>
        <w:t>in 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idoneit</w:t>
      </w:r>
      <w:r>
        <w:rPr>
          <w:sz w:val="24"/>
        </w:rPr>
        <w:t>à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morale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stipulare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convenzioni</w:t>
      </w:r>
      <w:r>
        <w:rPr>
          <w:spacing w:val="-2"/>
          <w:sz w:val="24"/>
        </w:rPr>
        <w:t xml:space="preserve"> </w:t>
      </w:r>
      <w:r>
        <w:rPr>
          <w:sz w:val="24"/>
        </w:rPr>
        <w:t>con la Pubblica Amministrazione;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6" w:before="65" w:after="0"/>
        <w:ind w:left="858" w:right="144" w:hanging="356"/>
        <w:jc w:val="both"/>
        <w:rPr>
          <w:sz w:val="24"/>
        </w:rPr>
      </w:pPr>
      <w:r>
        <w:rPr>
          <w:sz w:val="24"/>
        </w:rPr>
        <w:t>che l’Ente e, iscritto alla CCIAA, nel Registro delle Imprese oppure nell’Albo delle Imprese artigiane oppure nel competente Ordine Professionale per attivit</w:t>
      </w:r>
      <w:r>
        <w:rPr>
          <w:sz w:val="24"/>
        </w:rPr>
        <w:t>à</w:t>
      </w:r>
      <w:r>
        <w:rPr>
          <w:sz w:val="24"/>
        </w:rPr>
        <w:t>, pertinenti con quelle oggetto della presente procedura di gara. Nel caso di operatore non tenuto all’obbligo di cui al precedente periodo, sar</w:t>
      </w:r>
      <w:r>
        <w:rPr>
          <w:sz w:val="24"/>
        </w:rPr>
        <w:t>à</w:t>
      </w:r>
      <w:r>
        <w:rPr>
          <w:sz w:val="24"/>
        </w:rPr>
        <w:t>, acquisita in fase di controllo apposita dichiarazione del legale rappresentante resa in forma di autocertificazione ai sensi del DPR n. 445/2000, con la quale si dichiara l’insussistenza del suddetto obbligo.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3" w:leader="none"/>
        </w:tabs>
        <w:spacing w:lineRule="auto" w:line="271" w:before="55" w:after="0"/>
        <w:ind w:left="863" w:right="148" w:hanging="360"/>
        <w:jc w:val="both"/>
        <w:rPr>
          <w:sz w:val="24"/>
        </w:rPr>
      </w:pPr>
      <w:r>
        <w:rPr>
          <w:sz w:val="24"/>
        </w:rPr>
        <w:t>possedere una consolidata e comprovata esperienza pregressa in attivit</w:t>
      </w:r>
      <w:r>
        <w:rPr>
          <w:sz w:val="24"/>
        </w:rPr>
        <w:t>à</w:t>
      </w:r>
      <w:r>
        <w:rPr>
          <w:sz w:val="24"/>
        </w:rPr>
        <w:t>, relative alla organizzazione di eventi e manifestazioni;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1" w:before="62" w:after="0"/>
        <w:ind w:left="858" w:right="152" w:hanging="356"/>
        <w:jc w:val="both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essere in regola in materia di contribuzione previdenziale, assicurativa e </w:t>
      </w:r>
      <w:r>
        <w:rPr>
          <w:spacing w:val="-2"/>
          <w:sz w:val="24"/>
        </w:rPr>
        <w:t>infortunistica;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7" w:leader="none"/>
        </w:tabs>
        <w:spacing w:lineRule="auto" w:line="240" w:before="63" w:after="0"/>
        <w:ind w:left="857" w:right="0" w:hanging="355"/>
        <w:jc w:val="both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avere</w:t>
      </w:r>
      <w:r>
        <w:rPr>
          <w:spacing w:val="22"/>
          <w:sz w:val="24"/>
        </w:rPr>
        <w:t xml:space="preserve"> </w:t>
      </w:r>
      <w:r>
        <w:rPr>
          <w:sz w:val="24"/>
        </w:rPr>
        <w:t>capacit</w:t>
      </w:r>
      <w:r>
        <w:rPr>
          <w:sz w:val="24"/>
        </w:rPr>
        <w:t>à</w:t>
      </w:r>
      <w:r>
        <w:rPr>
          <w:sz w:val="24"/>
        </w:rPr>
        <w:t>,</w:t>
      </w:r>
      <w:r>
        <w:rPr>
          <w:spacing w:val="43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23"/>
          <w:sz w:val="24"/>
        </w:rPr>
        <w:t xml:space="preserve"> </w:t>
      </w:r>
      <w:r>
        <w:rPr>
          <w:sz w:val="24"/>
        </w:rPr>
        <w:t>ed</w:t>
      </w:r>
      <w:r>
        <w:rPr>
          <w:spacing w:val="22"/>
          <w:sz w:val="24"/>
        </w:rPr>
        <w:t xml:space="preserve"> </w:t>
      </w:r>
      <w:r>
        <w:rPr>
          <w:sz w:val="24"/>
        </w:rPr>
        <w:t>economica</w:t>
      </w:r>
      <w:r>
        <w:rPr>
          <w:spacing w:val="22"/>
          <w:sz w:val="24"/>
        </w:rPr>
        <w:t xml:space="preserve"> </w:t>
      </w:r>
      <w:r>
        <w:rPr>
          <w:sz w:val="24"/>
        </w:rPr>
        <w:t>adeguate</w:t>
      </w:r>
      <w:r>
        <w:rPr>
          <w:spacing w:val="23"/>
          <w:sz w:val="24"/>
        </w:rPr>
        <w:t xml:space="preserve"> </w:t>
      </w:r>
      <w:r>
        <w:rPr>
          <w:sz w:val="24"/>
        </w:rPr>
        <w:t>alla</w:t>
      </w:r>
      <w:r>
        <w:rPr>
          <w:spacing w:val="22"/>
          <w:sz w:val="24"/>
        </w:rPr>
        <w:t xml:space="preserve"> </w:t>
      </w:r>
      <w:r>
        <w:rPr>
          <w:sz w:val="24"/>
        </w:rPr>
        <w:t>tipologia</w:t>
      </w:r>
      <w:r>
        <w:rPr>
          <w:spacing w:val="22"/>
          <w:sz w:val="24"/>
        </w:rPr>
        <w:t xml:space="preserve"> </w:t>
      </w:r>
      <w:r>
        <w:rPr>
          <w:sz w:val="24"/>
        </w:rPr>
        <w:t>ed</w:t>
      </w:r>
      <w:r>
        <w:rPr>
          <w:spacing w:val="23"/>
          <w:sz w:val="24"/>
        </w:rPr>
        <w:t xml:space="preserve"> </w:t>
      </w:r>
      <w:r>
        <w:rPr>
          <w:sz w:val="24"/>
        </w:rPr>
        <w:t>entità,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 xml:space="preserve">degli </w:t>
      </w:r>
      <w:r>
        <w:rPr>
          <w:rFonts w:eastAsia="Cambria" w:cs="Cambria"/>
          <w:sz w:val="24"/>
          <w:lang w:val="it-IT" w:eastAsia="en-US" w:bidi="ar-SA"/>
        </w:rPr>
        <w:t>interventi</w:t>
      </w:r>
      <w:r>
        <w:rPr>
          <w:rFonts w:eastAsia="Cambria" w:cs="Cambria"/>
          <w:spacing w:val="-9"/>
          <w:sz w:val="24"/>
          <w:lang w:val="it-IT" w:eastAsia="en-US" w:bidi="ar-SA"/>
        </w:rPr>
        <w:t xml:space="preserve"> </w:t>
      </w:r>
      <w:r>
        <w:rPr>
          <w:rFonts w:eastAsia="Cambria" w:cs="Cambria"/>
          <w:sz w:val="24"/>
          <w:lang w:val="it-IT" w:eastAsia="en-US" w:bidi="ar-SA"/>
        </w:rPr>
        <w:t>descritti</w:t>
      </w:r>
      <w:r>
        <w:rPr>
          <w:rFonts w:eastAsia="Cambria" w:cs="Cambria"/>
          <w:spacing w:val="-9"/>
          <w:sz w:val="24"/>
          <w:lang w:val="it-IT" w:eastAsia="en-US" w:bidi="ar-SA"/>
        </w:rPr>
        <w:t xml:space="preserve"> </w:t>
      </w:r>
      <w:r>
        <w:rPr>
          <w:rFonts w:eastAsia="Cambria" w:cs="Cambria"/>
          <w:sz w:val="24"/>
          <w:lang w:val="it-IT" w:eastAsia="en-US" w:bidi="ar-SA"/>
        </w:rPr>
        <w:t>nel</w:t>
      </w:r>
      <w:r>
        <w:rPr>
          <w:rFonts w:eastAsia="Cambria" w:cs="Cambria"/>
          <w:spacing w:val="-9"/>
          <w:sz w:val="24"/>
          <w:lang w:val="it-IT" w:eastAsia="en-US" w:bidi="ar-SA"/>
        </w:rPr>
        <w:t xml:space="preserve"> </w:t>
      </w:r>
      <w:r>
        <w:rPr>
          <w:rFonts w:eastAsia="Cambria" w:cs="Cambria"/>
          <w:sz w:val="24"/>
          <w:lang w:val="it-IT" w:eastAsia="en-US" w:bidi="ar-SA"/>
        </w:rPr>
        <w:t>presente</w:t>
      </w:r>
      <w:r>
        <w:rPr>
          <w:rFonts w:eastAsia="Cambria" w:cs="Cambria"/>
          <w:spacing w:val="-9"/>
          <w:sz w:val="24"/>
          <w:lang w:val="it-IT" w:eastAsia="en-US" w:bidi="ar-SA"/>
        </w:rPr>
        <w:t xml:space="preserve"> </w:t>
      </w:r>
      <w:r>
        <w:rPr>
          <w:rFonts w:eastAsia="Cambria" w:cs="Cambria"/>
          <w:spacing w:val="-2"/>
          <w:sz w:val="24"/>
          <w:lang w:val="it-IT" w:eastAsia="en-US" w:bidi="ar-SA"/>
        </w:rPr>
        <w:t>Avviso;</w:t>
      </w:r>
    </w:p>
    <w:p>
      <w:pPr>
        <w:sectPr>
          <w:footerReference w:type="default" r:id="rId2"/>
          <w:type w:val="nextPage"/>
          <w:pgSz w:w="11906" w:h="16838"/>
          <w:pgMar w:left="992" w:right="992" w:gutter="0" w:header="0" w:top="1320" w:footer="814" w:bottom="100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1" w:before="101" w:after="0"/>
        <w:ind w:left="858" w:right="154" w:hanging="356"/>
        <w:jc w:val="both"/>
        <w:rPr>
          <w:sz w:val="24"/>
        </w:rPr>
      </w:pPr>
      <w:r>
        <w:rPr>
          <w:sz w:val="24"/>
        </w:rPr>
        <w:t>di essere in regola con l’applicazione della normativa relativa alla sicurezza sui luoghi di lavoro e di rispettare le norme per il diritto al lavoro dei disabili;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7" w:leader="none"/>
        </w:tabs>
        <w:spacing w:lineRule="auto" w:line="240" w:before="62" w:after="0"/>
        <w:ind w:left="857" w:right="0" w:hanging="355"/>
        <w:jc w:val="both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essere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9" w:leader="none"/>
        </w:tabs>
        <w:spacing w:lineRule="auto" w:line="240" w:before="104" w:after="0"/>
        <w:ind w:left="1419" w:right="0" w:hanging="227"/>
        <w:jc w:val="both"/>
        <w:rPr>
          <w:sz w:val="24"/>
        </w:rPr>
      </w:pPr>
      <w:r>
        <w:rPr>
          <w:sz w:val="24"/>
        </w:rPr>
        <w:t>assoggettato/a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assunzioni</w:t>
      </w:r>
      <w:r>
        <w:rPr>
          <w:spacing w:val="-6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68/99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419" w:leader="none"/>
        </w:tabs>
        <w:spacing w:lineRule="auto" w:line="240" w:before="101" w:after="0"/>
        <w:ind w:left="1419" w:right="0" w:hanging="227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assoggettato/a</w:t>
      </w:r>
      <w:r>
        <w:rPr>
          <w:spacing w:val="-4"/>
          <w:sz w:val="24"/>
        </w:rPr>
        <w:t xml:space="preserve"> </w:t>
      </w:r>
      <w:r>
        <w:rPr>
          <w:sz w:val="24"/>
        </w:rPr>
        <w:t>agli</w:t>
      </w:r>
      <w:r>
        <w:rPr>
          <w:spacing w:val="-4"/>
          <w:sz w:val="24"/>
        </w:rPr>
        <w:t xml:space="preserve"> </w:t>
      </w:r>
      <w:r>
        <w:rPr>
          <w:sz w:val="24"/>
        </w:rPr>
        <w:t>obblighi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assunzioni</w:t>
      </w:r>
      <w:r>
        <w:rPr>
          <w:spacing w:val="-6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L.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68/99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1" w:before="101" w:after="0"/>
        <w:ind w:left="858" w:right="153" w:hanging="356"/>
        <w:jc w:val="both"/>
        <w:rPr>
          <w:sz w:val="24"/>
        </w:rPr>
      </w:pPr>
      <w:r>
        <w:rPr>
          <w:sz w:val="24"/>
        </w:rPr>
        <w:t xml:space="preserve">di applicare al personale dipendente il contratto nazionale del settore e i contratti integrativi, territoriali e aziendali vigenti, con particolare riferimento ai salari minimi </w:t>
      </w:r>
      <w:r>
        <w:rPr>
          <w:spacing w:val="-2"/>
          <w:sz w:val="24"/>
        </w:rPr>
        <w:t>contrattuali;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6" w:before="65" w:after="0"/>
        <w:ind w:left="858" w:right="143" w:hanging="356"/>
        <w:jc w:val="both"/>
        <w:rPr>
          <w:sz w:val="24"/>
        </w:rPr>
      </w:pPr>
      <w:r>
        <w:rPr>
          <w:sz w:val="24"/>
        </w:rPr>
        <w:t>l’insussistenza di condanna con sentenza definitiva o decreto penale di condanna divenuto irrevocabile o sentenza di applicazione della pena su richiesta, ai sensi dell'</w:t>
      </w:r>
      <w:r>
        <w:rPr>
          <w:color w:val="0000FF"/>
          <w:sz w:val="24"/>
          <w:u w:val="single" w:color="0000FF"/>
        </w:rPr>
        <w:t>articolo 444 del codice di procedura penale</w:t>
      </w:r>
      <w:r>
        <w:rPr>
          <w:sz w:val="24"/>
        </w:rPr>
        <w:t>, per i reati previsti dall’art. 80 co.1 del D.Lgs. 50/2016 riferiti al/i legale/i rappresentante/I e ai componenti degli organismi di direzione dell’Ente;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1" w:before="55" w:after="0"/>
        <w:ind w:left="858" w:right="149" w:hanging="356"/>
        <w:jc w:val="both"/>
        <w:rPr>
          <w:sz w:val="24"/>
        </w:rPr>
      </w:pPr>
      <w:r>
        <w:rPr>
          <w:sz w:val="24"/>
        </w:rPr>
        <w:t>di non essere soggetti alla sanzione interdittiva di cui all’art. 9, comma 2, lettera c) del D.Lgs. 231/2001, o ad altra sanzione che comporta il divieto di contrarre con la Pubblica Amministrazione;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6" w:before="65" w:after="0"/>
        <w:ind w:left="858" w:right="148" w:hanging="356"/>
        <w:jc w:val="both"/>
        <w:rPr>
          <w:sz w:val="24"/>
        </w:rPr>
      </w:pPr>
      <w:r>
        <w:rPr>
          <w:sz w:val="24"/>
        </w:rPr>
        <w:t>di non essere sottoposti a cause di decadenza, sospensione o divieto di cui al D.Lgs.159/2011 e ss.mm.ii. (Codice delle</w:t>
      </w:r>
      <w:r>
        <w:rPr>
          <w:spacing w:val="-1"/>
          <w:sz w:val="24"/>
        </w:rPr>
        <w:t xml:space="preserve"> </w:t>
      </w:r>
      <w:r>
        <w:rPr>
          <w:sz w:val="24"/>
        </w:rPr>
        <w:t>leggi antimafia e</w:t>
      </w:r>
      <w:r>
        <w:rPr>
          <w:spacing w:val="-1"/>
          <w:sz w:val="24"/>
        </w:rPr>
        <w:t xml:space="preserve"> </w:t>
      </w:r>
      <w:r>
        <w:rPr>
          <w:sz w:val="24"/>
        </w:rPr>
        <w:t>delle misure di prevenzione) o di un tentativo di infiltrazione mafiosa di cui all'</w:t>
      </w:r>
      <w:r>
        <w:rPr>
          <w:color w:val="0000FF"/>
          <w:sz w:val="24"/>
          <w:u w:val="single" w:color="0000FF"/>
        </w:rPr>
        <w:t>articolo 84, comma 4, del medesimo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decreto</w:t>
      </w:r>
      <w:r>
        <w:rPr>
          <w:spacing w:val="-2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8" w:leader="none"/>
        </w:tabs>
        <w:spacing w:lineRule="auto" w:line="276" w:before="56" w:after="0"/>
        <w:ind w:left="858" w:right="152" w:hanging="356"/>
        <w:jc w:val="both"/>
        <w:rPr>
          <w:sz w:val="24"/>
        </w:rPr>
      </w:pPr>
      <w:r>
        <w:rPr>
          <w:sz w:val="24"/>
        </w:rPr>
        <w:t>di essere in regola con quanto previsto dal programma 100 del Comune di Napoli che prevede, per i contratti di appalto di lavori, servizi e forniture, di subordinare l’instaurazione del rapporto contrattuale all’iscrizione dell’appaltatore, ove dovuta, nell’anagrafe dei contribuenti, ed alla verifica della correttezza dei pagamenti dei tributi locali.</w:t>
      </w:r>
    </w:p>
    <w:p>
      <w:pPr>
        <w:pStyle w:val="Corpodeltesto"/>
        <w:tabs>
          <w:tab w:val="clear" w:pos="720"/>
          <w:tab w:val="left" w:pos="3793" w:leader="none"/>
          <w:tab w:val="left" w:pos="6537" w:leader="none"/>
        </w:tabs>
        <w:spacing w:before="55" w:after="0"/>
        <w:ind w:left="143" w:right="0" w:hanging="356"/>
        <w:jc w:val="both"/>
        <w:rPr/>
      </w:pPr>
      <w:r>
        <w:rPr>
          <w:spacing w:val="65"/>
          <w:w w:val="150"/>
          <w:u w:val="single"/>
        </w:rPr>
        <w:t xml:space="preserve">   </w:t>
      </w:r>
      <w:r>
        <w:rPr>
          <w:u w:val="single"/>
        </w:rPr>
        <w:t>(luogo</w:t>
      </w:r>
      <w:r>
        <w:rPr>
          <w:spacing w:val="2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data)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Corpodeltesto"/>
        <w:spacing w:before="131" w:after="0"/>
        <w:ind w:left="0" w:right="0" w:hanging="356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4503420</wp:posOffset>
                </wp:positionH>
                <wp:positionV relativeFrom="paragraph">
                  <wp:posOffset>247650</wp:posOffset>
                </wp:positionV>
                <wp:extent cx="1976755" cy="1270"/>
                <wp:effectExtent l="0" t="4445" r="0" b="3175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60" cy="1440"/>
                        </a:xfrm>
                        <a:custGeom>
                          <a:avLst/>
                          <a:gdLst>
                            <a:gd name="textAreaLeft" fmla="*/ 0 w 1120680"/>
                            <a:gd name="textAreaRight" fmla="*/ 1121400 w 112068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1976755" h="0">
                              <a:moveTo>
                                <a:pt x="0" y="0"/>
                              </a:moveTo>
                              <a:lnTo>
                                <a:pt x="1976263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ind w:left="0" w:right="0" w:hanging="356"/>
        <w:rPr/>
      </w:pPr>
      <w:r>
        <w:rPr/>
      </w:r>
    </w:p>
    <w:p>
      <w:pPr>
        <w:pStyle w:val="Corpodeltesto"/>
        <w:ind w:left="0" w:right="0" w:hanging="356"/>
        <w:rPr/>
      </w:pPr>
      <w:r>
        <w:rPr/>
      </w:r>
    </w:p>
    <w:p>
      <w:pPr>
        <w:pStyle w:val="Corpodeltesto"/>
        <w:ind w:left="0" w:right="0" w:hanging="356"/>
        <w:rPr/>
      </w:pPr>
      <w:r>
        <w:rPr/>
      </w:r>
    </w:p>
    <w:p>
      <w:pPr>
        <w:pStyle w:val="Corpodeltesto"/>
        <w:ind w:left="0" w:right="0" w:hanging="356"/>
        <w:rPr/>
      </w:pPr>
      <w:r>
        <w:rPr/>
      </w:r>
    </w:p>
    <w:p>
      <w:pPr>
        <w:pStyle w:val="Corpodeltesto"/>
        <w:spacing w:before="162" w:after="0"/>
        <w:ind w:left="0" w:right="0" w:hanging="356"/>
        <w:rPr/>
      </w:pPr>
      <w:r>
        <w:rPr/>
      </w:r>
    </w:p>
    <w:p>
      <w:pPr>
        <w:pStyle w:val="Normal"/>
        <w:spacing w:before="1" w:after="0"/>
        <w:ind w:left="143" w:right="0" w:hanging="0"/>
        <w:jc w:val="left"/>
        <w:rPr>
          <w:b/>
          <w:b/>
          <w:sz w:val="24"/>
        </w:rPr>
      </w:pPr>
      <w:r>
        <w:rPr>
          <w:b/>
          <w:sz w:val="24"/>
        </w:rPr>
        <w:t>N.B.: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allegata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copia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fotostatica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documento di identità in corso di validità del/i soggetto/i firmatario/i.</w:t>
      </w:r>
    </w:p>
    <w:sectPr>
      <w:type w:val="continuous"/>
      <w:pgSz w:w="11906" w:h="16838"/>
      <w:pgMar w:left="992" w:right="992" w:gutter="0" w:header="0" w:top="1320" w:footer="814" w:bottom="100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9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3175" distB="1905" distL="3810" distR="381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10051415</wp:posOffset>
              </wp:positionV>
              <wp:extent cx="6119495" cy="1270"/>
              <wp:effectExtent l="3810" t="3175" r="3810" b="1905"/>
              <wp:wrapNone/>
              <wp:docPr id="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640" cy="1440"/>
                      </a:xfrm>
                      <a:custGeom>
                        <a:avLst/>
                        <a:gdLst>
                          <a:gd name="textAreaLeft" fmla="*/ 0 w 3469320"/>
                          <a:gd name="textAreaRight" fmla="*/ 3470040 w 346932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6119495" h="0">
                            <a:moveTo>
                              <a:pt x="0" y="0"/>
                            </a:moveTo>
                            <a:lnTo>
                              <a:pt x="6119495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9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428" w:hanging="29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858" w:hanging="356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420" w:hanging="228"/>
      </w:pPr>
      <w:rPr>
        <w:rFonts w:ascii="Arial MT" w:hAnsi="Arial MT" w:cs="Arial MT" w:hint="default"/>
        <w:sz w:val="24"/>
        <w:spacing w:val="0"/>
        <w:i w:val="false"/>
        <w:b w:val="false"/>
        <w:szCs w:val="24"/>
        <w:iCs w:val="false"/>
        <w:bCs w:val="false"/>
        <w:w w:val="101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82" w:hanging="22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45" w:hanging="22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08" w:hanging="22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71" w:hanging="22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3" w:hanging="22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96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43" w:right="0" w:hanging="0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858" w:right="0" w:hanging="0"/>
    </w:pPr>
    <w:rPr>
      <w:rFonts w:ascii="Cambria" w:hAnsi="Cambria" w:eastAsia="Cambria" w:cs="Cambria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279" w:after="0"/>
      <w:ind w:left="143" w:right="145" w:hanging="0"/>
    </w:pPr>
    <w:rPr>
      <w:rFonts w:ascii="Cambria" w:hAnsi="Cambria" w:eastAsia="Cambria" w:cs="Cambria"/>
      <w:b/>
      <w:bCs/>
      <w:sz w:val="30"/>
      <w:szCs w:val="3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65" w:after="0"/>
      <w:ind w:left="858" w:right="0" w:hanging="356"/>
      <w:jc w:val="both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LibreOffice/7.4.5.1$Windows_X86_64 LibreOffice_project/9c0871452b3918c1019dde9bfac75448afc4b57f</Application>
  <AppVersion>15.0000</AppVersion>
  <Pages>2</Pages>
  <Words>598</Words>
  <Characters>3510</Characters>
  <CharactersWithSpaces>4097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2025-11-30T10:51:04Z</dcterms:created>
  <dc:creator>Buonaiuto</dc:creator>
  <dc:description/>
  <dc:language>it-IT</dc:language>
  <cp:lastModifiedBy/>
  <dcterms:modified xsi:type="dcterms:W3CDTF">2025-12-09T16:06:54Z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2025-11-17T00:00:00Z</vt:filetime>
  </property>
  <property fmtid="{D5CDD505-2E9C-101B-9397-08002B2CF9AE}" pid="5" name="Producer">
    <vt:lpwstr>LibreOffice 7.4</vt:lpwstr>
  </property>
</Properties>
</file>