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107" w:before="107" w:line="312" w:lineRule="exact"/>
        <w:ind w:hanging="0" w:left="0" w:right="0"/>
        <w:contextualSpacing w:val="false"/>
        <w:jc w:val="left"/>
      </w:pPr>
      <w:r>
        <w:rPr>
          <w:rFonts w:ascii="Georgia" w:cs="Georgia" w:eastAsia="Georgia" w:hAnsi="Georgia"/>
          <w:b/>
          <w:color w:val="353535"/>
          <w:spacing w:val="0"/>
          <w:position w:val="0"/>
          <w:sz w:val="24"/>
          <w:sz w:val="28"/>
          <w:shd w:fill="FFFFFF" w:val="clear"/>
          <w:vertAlign w:val="baseline"/>
        </w:rPr>
        <w:t>Parque archeologico Pausilypon</w:t>
      </w:r>
    </w:p>
    <w:p>
      <w:pPr>
        <w:pStyle w:val="style0"/>
        <w:spacing w:after="107" w:before="107" w:line="312" w:lineRule="exact"/>
        <w:ind w:hanging="0" w:left="0" w:right="0"/>
        <w:contextualSpacing w:val="false"/>
        <w:jc w:val="left"/>
      </w:pPr>
      <w:r>
        <w:rPr>
          <w:rFonts w:ascii="Georgia" w:cs="Georgia" w:eastAsia="Georgia" w:hAnsi="Georgia"/>
          <w:b/>
          <w:color w:val="353535"/>
          <w:spacing w:val="0"/>
          <w:sz w:val="28"/>
          <w:shd w:fill="FFFFFF" w:val="clear"/>
        </w:rPr>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0"/>
          <w:shd w:fill="FFFFFF" w:val="clear"/>
          <w:vertAlign w:val="baseline"/>
        </w:rPr>
        <w:t>Con las intervenciones de recuperación provocadas por el tiempo desde la Superintendencia Arqueológica de Nápoles y Caserta con la contribución de la ciudad de Nápoles, un primero núcleo del gran parque arqueológico Pausilypon se ha vuelto a abrir  al público de manera estable a través el  uso del personal municipal, de trabajadores  socialmente útiles y miembros de la cooperativa. La ruta es muy fascinante y encantadora, se empieza desde el acceso situado a la  extremidad de la bajada Coroglio , donde se encuentra la monumental Grotta di Seiano: un túnel artificial maravilloso que pasa con una perforación  de casi  770 metros  la colina tobosa de Posillipo  que se une  a la área de Bagnoli y de Campi Flegrei con la valle de la Gaiola. La ruta del largo antiguo pasaje, realizada casi  hace  dos milesio por el arquitecto Seiano, el famoso ministro de Tiberio, y reforzado en la epoca borbónica, se despliega en la fascinante penumbra del túnel atravesada en la parte final de la resplandeciente luz que se irradia desde las galeria laterales que caen en desplomo  sobre las calas de gran belleza que ofrecen una vista impresionante. El redescubrimiento de la galería, que después del siglo XVI habían caído en el olvido, se produjo en mayo del 1840.  Después de la cueva se alcanza a través de un camino flanqueado por  la vegetación típica del Mediterráneo,  en la zona de la villa, que Vedio Pollione, rico caballero romano atado a Ottaviano Augusto, quería llamar con un nombre de origen griega "Pausilypon", o sea " un lugar que pone fin a los problemas ", describiendo así admirablemente el encanto y la belleza del lugar asi llamado, precisamente Posillipo.</w:t>
      </w:r>
    </w:p>
    <w:p>
      <w:pPr>
        <w:pStyle w:val="style0"/>
        <w:spacing w:after="200" w:before="0" w:line="276" w:lineRule="exact"/>
        <w:ind w:hanging="0" w:left="0" w:right="0"/>
        <w:contextualSpacing w:val="false"/>
        <w:jc w:val="left"/>
      </w:pPr>
      <w:r>
        <w:rPr>
          <w:rFonts w:cs="Times New Roman" w:eastAsia="Times New Roman"/>
          <w:color w:val="00000A"/>
          <w:spacing w:val="0"/>
          <w:position w:val="0"/>
          <w:sz w:val="24"/>
          <w:sz w:val="20"/>
          <w:shd w:fill="FFFFFF" w:val="clear"/>
          <w:vertAlign w:val="baseline"/>
        </w:rPr>
        <w:t> </w:t>
      </w:r>
      <w:r>
        <w:rPr>
          <w:rFonts w:cs="Times New Roman" w:eastAsia="Times New Roman"/>
          <w:color w:val="00000A"/>
          <w:spacing w:val="0"/>
          <w:position w:val="0"/>
          <w:sz w:val="24"/>
          <w:sz w:val="20"/>
          <w:shd w:fill="FFFFFF" w:val="clear"/>
          <w:vertAlign w:val="baseline"/>
        </w:rPr>
        <w:t>Una villa muy articulada, ampliada para satisfacer las necesidades de una residencia imperial, cuya extensión total podrá  ser evidenciada sólo después de la excavación adicional aún en curso por la Superintendencia Arqueológica y que tiene como  objetivo  devolver a la pública fruicion  todo el  parque arqueológico -  ambiental de Pausilypon.</w:t>
        <w:br/>
        <w:t xml:space="preserve"> El área contiene restos arqueológicos únicos de un teatro con una hermosa estructura, con 13 órdenes de asientos en la primera  cávea y 6 en la media y una capacidad total de dos mil asientos, construida  utilizando la pendiente natural de la colina según  una técnica típica de los teatros griegos . En el lado opuesto se pueden admirar las ruinas del Odeion,</w:t>
        <w:br/>
        <w:t xml:space="preserve"> el antiguo teatro cubierto destinado a las audiciones de poesía retórica o de música, con un pequeña cávea situada frontalmente al gran teatro. Otros ejemplos de este lugar, que paso después de la muerte de Vedio Pollione (15 AC) a la propiedad  imperial, son los hallazgos arqueológicos del  Tempio o Sacrarium o  puesto al este del teatro y del Ninfeo situado en la zona occidental.</w:t>
      </w:r>
    </w:p>
    <w:p>
      <w:pPr>
        <w:pStyle w:val="style0"/>
        <w:spacing w:after="200" w:before="0" w:line="276" w:lineRule="exact"/>
        <w:ind w:hanging="0" w:left="0" w:right="0"/>
        <w:contextualSpacing w:val="false"/>
        <w:jc w:val="left"/>
      </w:pPr>
      <w:r>
        <w:rPr>
          <w:rFonts w:cs="Times New Roman" w:eastAsia="Times New Roman"/>
          <w:b/>
          <w:color w:val="00000A"/>
          <w:spacing w:val="0"/>
          <w:sz w:val="20"/>
          <w:shd w:fill="FFFFFF" w:val="clear"/>
        </w:rPr>
      </w:r>
    </w:p>
    <w:p>
      <w:pPr>
        <w:pStyle w:val="style0"/>
        <w:spacing w:after="200" w:before="0" w:line="276" w:lineRule="exact"/>
        <w:ind w:hanging="0" w:left="0" w:right="0"/>
        <w:contextualSpacing w:val="false"/>
        <w:jc w:val="left"/>
      </w:pPr>
      <w:r>
        <w:rPr>
          <w:rFonts w:cs="Times New Roman" w:eastAsia="Times New Roman"/>
          <w:b/>
          <w:color w:val="00000A"/>
          <w:spacing w:val="0"/>
          <w:position w:val="0"/>
          <w:sz w:val="24"/>
          <w:sz w:val="22"/>
          <w:shd w:fill="FFFFFF" w:val="clear"/>
          <w:vertAlign w:val="baseline"/>
        </w:rPr>
        <w:t>Manera de fruición</w:t>
      </w:r>
      <w:r>
        <w:rPr>
          <w:rFonts w:cs="Times New Roman" w:eastAsia="Times New Roman"/>
          <w:b/>
          <w:color w:val="545454"/>
          <w:spacing w:val="0"/>
          <w:position w:val="0"/>
          <w:sz w:val="24"/>
          <w:sz w:val="22"/>
          <w:shd w:fill="FFFFFF" w:val="clear"/>
          <w:vertAlign w:val="baseline"/>
        </w:rPr>
        <w:t> </w:t>
      </w:r>
    </w:p>
    <w:p>
      <w:pPr>
        <w:pStyle w:val="style0"/>
        <w:spacing w:after="200" w:before="0" w:line="276" w:lineRule="exact"/>
        <w:ind w:hanging="0" w:left="0" w:right="0"/>
        <w:contextualSpacing w:val="false"/>
        <w:jc w:val="left"/>
      </w:pPr>
      <w:r>
        <w:rPr>
          <w:rFonts w:ascii="Calibri" w:cs="Calibri" w:eastAsia="Calibri" w:hAnsi="Calibri"/>
          <w:color w:val="00000A"/>
          <w:spacing w:val="0"/>
          <w:position w:val="0"/>
          <w:sz w:val="24"/>
          <w:sz w:val="22"/>
          <w:shd w:fill="FFFFFF" w:val="clear"/>
          <w:vertAlign w:val="baseline"/>
        </w:rPr>
        <w:br/>
      </w:r>
      <w:r>
        <w:rPr>
          <w:rFonts w:cs="Times New Roman" w:eastAsia="Times New Roman"/>
          <w:color w:val="212121"/>
          <w:spacing w:val="0"/>
          <w:position w:val="0"/>
          <w:sz w:val="24"/>
          <w:sz w:val="22"/>
          <w:shd w:fill="FFFFFF" w:val="clear"/>
          <w:vertAlign w:val="baseline"/>
        </w:rPr>
        <w:t xml:space="preserve">Parque Arqueológico Pausilypon . Bajada Coroglio n . 36 </w:t>
      </w:r>
    </w:p>
    <w:p>
      <w:pPr>
        <w:pStyle w:val="style0"/>
        <w:spacing w:after="200" w:before="0" w:line="276" w:lineRule="exact"/>
        <w:ind w:hanging="0" w:left="0" w:right="0"/>
        <w:contextualSpacing w:val="false"/>
        <w:jc w:val="left"/>
      </w:pPr>
      <w:r>
        <w:rPr>
          <w:rFonts w:cs="Times New Roman" w:eastAsia="Times New Roman"/>
          <w:color w:val="212121"/>
          <w:spacing w:val="0"/>
          <w:position w:val="0"/>
          <w:sz w:val="24"/>
          <w:sz w:val="22"/>
          <w:shd w:fill="FFFFFF" w:val="clear"/>
          <w:vertAlign w:val="baseline"/>
        </w:rPr>
        <w:t xml:space="preserve">El parque arqueológico se puede visitar todos los días gratuitamente desde el lunes hasta el sábado , excepto los días de festividad, exclusivamente con la reserva: </w:t>
        <w:br/>
        <w:t>- llamándo por teléfono al número 081.2301030, desde las 10,00  hasta las 13,00</w:t>
        <w:br/>
        <w:t xml:space="preserve">- enviando un fax al  num. 081.2301030 </w:t>
        <w:br/>
        <w:t xml:space="preserve">- escribiendo a la dirección que aparece a continuación y indicando un numero telefónico : grottadiseiano@comune.napoli.it , patrimonio.artistico.beniculturali@comune.napoli.it . </w:t>
        <w:br/>
        <w:t xml:space="preserve">Las visitas empiezan desde las 09:30 hasta las  10:30-11:30 con un grupo de máximo 40 personas . </w:t>
      </w:r>
    </w:p>
    <w:p>
      <w:pPr>
        <w:pStyle w:val="style0"/>
        <w:spacing w:after="200" w:before="0" w:line="276" w:lineRule="exact"/>
        <w:ind w:hanging="0" w:left="0" w:right="0"/>
        <w:contextualSpacing w:val="false"/>
        <w:jc w:val="left"/>
      </w:pPr>
      <w:r>
        <w:rPr>
          <w:rFonts w:cs="Times New Roman" w:eastAsia="Times New Roman"/>
          <w:color w:val="212121"/>
          <w:spacing w:val="0"/>
          <w:position w:val="0"/>
          <w:sz w:val="24"/>
          <w:sz w:val="22"/>
          <w:shd w:fill="FFFFFF" w:val="clear"/>
          <w:vertAlign w:val="baseline"/>
        </w:rPr>
        <w:t>A cura del Servicio de Patrimonio Artístico y Cultural - U.O. Comunicación - tel : 0817957704 Dirigente - Dr. Fabio Pascapè .</w:t>
      </w:r>
    </w:p>
    <w:p>
      <w:pPr>
        <w:pStyle w:val="style0"/>
        <w:spacing w:after="200" w:before="0" w:line="276" w:lineRule="exact"/>
        <w:ind w:hanging="0" w:left="0" w:right="0"/>
        <w:contextualSpacing w:val="false"/>
        <w:jc w:val="left"/>
      </w:pPr>
      <w:r>
        <w:rPr>
          <w:rFonts w:cs="Times New Roman" w:eastAsia="Times New Roman"/>
          <w:color w:val="212121"/>
          <w:spacing w:val="0"/>
          <w:sz w:val="22"/>
          <w:shd w:fill="FFFFFF" w:val="clear"/>
        </w:rPr>
      </w:r>
    </w:p>
    <w:p>
      <w:pPr>
        <w:pStyle w:val="style0"/>
        <w:spacing w:after="200" w:before="0" w:line="276" w:lineRule="exact"/>
        <w:ind w:hanging="0" w:left="0" w:right="0"/>
        <w:contextualSpacing w:val="false"/>
        <w:jc w:val="left"/>
      </w:pPr>
      <w:r>
        <w:rPr>
          <w:rFonts w:cs="Times New Roman" w:eastAsia="Times New Roman"/>
          <w:color w:val="212121"/>
          <w:spacing w:val="0"/>
          <w:position w:val="0"/>
          <w:sz w:val="24"/>
          <w:sz w:val="22"/>
          <w:shd w:fill="FFFFFF" w:val="clear"/>
          <w:vertAlign w:val="baseline"/>
        </w:rPr>
        <w:t>Traduzione a cura della Dott. Alessandra De Crescenzo</w:t>
        <w:br/>
        <w:t>Progetto Garanzia Giovani</w:t>
      </w:r>
    </w:p>
    <w:sectPr>
      <w:type w:val="nextPage"/>
      <w:pgSz w:h="15840" w:w="12240"/>
      <w:pgMar w:bottom="1440" w:footer="0" w:gutter="0" w:header="0" w:left="1800" w:right="1800" w:top="1440"/>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Stile predefinito"/>
    <w:next w:val="style0"/>
    <w:pPr>
      <w:widowControl w:val="false"/>
      <w:suppressAutoHyphens w:val="true"/>
    </w:pPr>
    <w:rPr>
      <w:rFonts w:ascii="Times New Roman" w:cs="Mangal" w:eastAsia="SimSun" w:hAnsi="Times New Roman"/>
      <w:color w:val="auto"/>
      <w:sz w:val="24"/>
      <w:szCs w:val="24"/>
      <w:lang w:bidi="hi-IN" w:eastAsia="zh-CN" w:val="it-IT"/>
    </w:rPr>
  </w:style>
  <w:style w:styleId="style15" w:type="paragraph">
    <w:name w:val="Intestazione"/>
    <w:basedOn w:val="style0"/>
    <w:next w:val="style16"/>
    <w:pPr>
      <w:keepNext/>
      <w:spacing w:after="120" w:before="240"/>
      <w:contextualSpacing w:val="false"/>
    </w:pPr>
    <w:rPr>
      <w:rFonts w:ascii="Arial" w:cs="Mangal" w:eastAsia="Microsoft YaHei" w:hAnsi="Arial"/>
      <w:sz w:val="28"/>
      <w:szCs w:val="28"/>
    </w:rPr>
  </w:style>
  <w:style w:styleId="style16" w:type="paragraph">
    <w:name w:val="Corpo del testo"/>
    <w:basedOn w:val="style0"/>
    <w:next w:val="style16"/>
    <w:pPr>
      <w:spacing w:after="120" w:before="0"/>
      <w:contextualSpacing w:val="false"/>
    </w:pPr>
    <w:rPr/>
  </w:style>
  <w:style w:styleId="style17" w:type="paragraph">
    <w:name w:val="Elenco"/>
    <w:basedOn w:val="style16"/>
    <w:next w:val="style17"/>
    <w:pPr/>
    <w:rPr>
      <w:rFonts w:cs="Mangal"/>
    </w:rPr>
  </w:style>
  <w:style w:styleId="style18" w:type="paragraph">
    <w:name w:val="Didascalia"/>
    <w:basedOn w:val="style0"/>
    <w:next w:val="style18"/>
    <w:pPr>
      <w:suppressLineNumbers/>
      <w:spacing w:after="120" w:before="120"/>
      <w:contextualSpacing w:val="false"/>
    </w:pPr>
    <w:rPr>
      <w:rFonts w:cs="Mangal"/>
      <w:i/>
      <w:iCs/>
      <w:sz w:val="24"/>
      <w:szCs w:val="24"/>
    </w:rPr>
  </w:style>
  <w:style w:styleId="style19" w:type="paragraph">
    <w:name w:val="Indice"/>
    <w:basedOn w:val="style0"/>
    <w:next w:val="style19"/>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cp:coreProperties>
</file>