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Garamond" w:hAnsi="Garamond"/>
        </w:rPr>
      </w:pPr>
      <w:r>
        <w:rPr>
          <w:rFonts w:ascii="Garamond" w:hAnsi="Garamond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2813685</wp:posOffset>
            </wp:positionH>
            <wp:positionV relativeFrom="paragraph">
              <wp:posOffset>-154940</wp:posOffset>
            </wp:positionV>
            <wp:extent cx="812800" cy="498475"/>
            <wp:effectExtent l="0" t="0" r="0" b="0"/>
            <wp:wrapNone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jc w:val="center"/>
        <w:rPr>
          <w:rFonts w:ascii="Garamond" w:hAnsi="Garamond"/>
        </w:rPr>
      </w:pPr>
      <w:r>
        <w:rPr>
          <w:rFonts w:ascii="Garamond" w:hAnsi="Garamond"/>
        </w:rPr>
        <w:t>COMUNE DI NAPOLI</w:t>
      </w:r>
    </w:p>
    <w:p>
      <w:pPr>
        <w:pStyle w:val="Normal"/>
        <w:jc w:val="center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jc w:val="both"/>
        <w:rPr>
          <w:rFonts w:ascii="Garamond" w:hAnsi="Garamond"/>
          <w:b/>
          <w:b/>
          <w:lang w:val="ar-SA"/>
        </w:rPr>
      </w:pPr>
      <w:r>
        <w:rPr>
          <w:rFonts w:cs="Garamond" w:ascii="Garamond" w:hAnsi="Garamond"/>
          <w:b/>
          <w:sz w:val="22"/>
          <w:szCs w:val="22"/>
          <w:lang w:val="ar-SA"/>
        </w:rPr>
        <w:t xml:space="preserve">AVVISO PUBBLICO PER LA PRESENTAZIONE DI CANDIDATURE PER LA NOMINA DEL PRESIDENTE E LA DESIGNAZIONE DI UN COMPONENTE NEL CONSIGLIO DI AMMINISTRAZIONE DI </w:t>
      </w:r>
      <w:r>
        <w:rPr>
          <w:rFonts w:cs="Garamond" w:ascii="Garamond" w:hAnsi="Garamond"/>
          <w:b/>
          <w:lang w:val="ar-SA"/>
        </w:rPr>
        <w:t>“MOSTRA D’OLTREMARE S.p.A.”</w:t>
      </w:r>
      <w:r>
        <w:rPr>
          <w:rFonts w:ascii="Garamond" w:hAnsi="Garamond"/>
          <w:b/>
          <w:lang w:val="ar-SA"/>
        </w:rPr>
        <w:t>.</w:t>
      </w:r>
    </w:p>
    <w:p>
      <w:pPr>
        <w:pStyle w:val="Normal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>IL SINDACO</w:t>
      </w:r>
    </w:p>
    <w:p>
      <w:pPr>
        <w:pStyle w:val="Normal"/>
        <w:numPr>
          <w:ilvl w:val="0"/>
          <w:numId w:val="1"/>
        </w:numPr>
        <w:ind w:left="0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Visto lo Statuto della Società “Mostra d’Oltremare S.p.A.”; </w:t>
      </w:r>
    </w:p>
    <w:p>
      <w:pPr>
        <w:pStyle w:val="Normal"/>
        <w:numPr>
          <w:ilvl w:val="0"/>
          <w:numId w:val="1"/>
        </w:numPr>
        <w:ind w:left="0" w:hanging="142"/>
        <w:jc w:val="both"/>
        <w:rPr>
          <w:rFonts w:ascii="Garamond" w:hAnsi="Garamond"/>
        </w:rPr>
      </w:pPr>
      <w:r>
        <w:rPr>
          <w:rFonts w:ascii="Garamond" w:hAnsi="Garamond"/>
        </w:rPr>
        <w:t>Vista la Delibera di Consiglio Comunale n. 22 del 15/5/2014, avente ad oggetto: “</w:t>
      </w:r>
      <w:r>
        <w:rPr>
          <w:rFonts w:ascii="Garamond" w:hAnsi="Garamond"/>
          <w:i/>
          <w:iCs/>
        </w:rPr>
        <w:t>Istituzione di un Regolamento relativo alle nomine, designazioni e revoche di rappresentanti del Comune presso Enti, Società, ancorché consortili ed Istituzioni</w:t>
      </w:r>
      <w:r>
        <w:rPr>
          <w:rFonts w:ascii="Garamond" w:hAnsi="Garamond"/>
        </w:rPr>
        <w:t>”, con la quale è stato approvato il testo del Regolamento di cui trattasi;</w:t>
      </w:r>
    </w:p>
    <w:p>
      <w:pPr>
        <w:pStyle w:val="Normal"/>
        <w:numPr>
          <w:ilvl w:val="0"/>
          <w:numId w:val="1"/>
        </w:numPr>
        <w:ind w:left="0" w:hanging="142"/>
        <w:jc w:val="both"/>
        <w:rPr>
          <w:rFonts w:ascii="Garamond" w:hAnsi="Garamond"/>
        </w:rPr>
      </w:pPr>
      <w:r>
        <w:rPr>
          <w:rFonts w:ascii="Garamond" w:hAnsi="Garamond"/>
        </w:rPr>
        <w:t>Letto l’art. 2 del predetto Regolamento;</w:t>
      </w:r>
    </w:p>
    <w:p>
      <w:pPr>
        <w:pStyle w:val="Normal"/>
        <w:numPr>
          <w:ilvl w:val="0"/>
          <w:numId w:val="1"/>
        </w:numPr>
        <w:ind w:left="0" w:hanging="142"/>
        <w:jc w:val="both"/>
        <w:rPr>
          <w:rFonts w:ascii="Garamond" w:hAnsi="Garamond"/>
        </w:rPr>
      </w:pPr>
      <w:r>
        <w:rPr>
          <w:rFonts w:ascii="Garamond" w:hAnsi="Garamond"/>
        </w:rPr>
        <w:t>Letto il Disciplinare sulle attività di indirizzo e controllo sugli organismi partecipati e sul Controllo Analogo, approvato con Delibera di Giunta Comunale n. 554 del 29/12/2023 e modificato con Delibera di Giunta Comunale n. 323 del 07/08/2024;</w:t>
      </w:r>
    </w:p>
    <w:p>
      <w:pPr>
        <w:pStyle w:val="Normal"/>
        <w:numPr>
          <w:ilvl w:val="0"/>
          <w:numId w:val="1"/>
        </w:numPr>
        <w:ind w:left="0" w:hanging="142"/>
        <w:jc w:val="both"/>
        <w:rPr>
          <w:rFonts w:ascii="Garamond" w:hAnsi="Garamond"/>
        </w:rPr>
      </w:pPr>
      <w:r>
        <w:rPr>
          <w:rFonts w:ascii="Garamond" w:hAnsi="Garamond"/>
        </w:rPr>
        <w:t>Letto l’art. 50 del D. Lgs. n. 267/2000;</w:t>
        <w:tab/>
      </w:r>
    </w:p>
    <w:p>
      <w:pPr>
        <w:pStyle w:val="Normal"/>
        <w:numPr>
          <w:ilvl w:val="0"/>
          <w:numId w:val="1"/>
        </w:numPr>
        <w:ind w:left="0" w:hanging="142"/>
        <w:jc w:val="both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lineRule="auto" w:line="360"/>
        <w:ind w:hanging="142"/>
        <w:jc w:val="center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>RENDE NOTO</w:t>
      </w:r>
    </w:p>
    <w:p>
      <w:pPr>
        <w:pStyle w:val="Normal"/>
        <w:numPr>
          <w:ilvl w:val="0"/>
          <w:numId w:val="1"/>
        </w:numPr>
        <w:ind w:left="0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che, </w:t>
      </w:r>
      <w:r>
        <w:rPr>
          <w:rFonts w:cs="Garamond" w:ascii="Garamond" w:hAnsi="Garamond"/>
          <w:lang w:val="ar-SA"/>
        </w:rPr>
        <w:t xml:space="preserve">con l'approvazione del Bilancio relativo all’esercizio 2023, all’ordine del giorno della convocazione dell’Assemblea Ordinaria fissata per l’11 settembre 2024, è giunto a scadenza l'Organo di Amministrazione di “Mostra d’Oltremare S.p.A.”; </w:t>
      </w:r>
    </w:p>
    <w:p>
      <w:pPr>
        <w:pStyle w:val="Normal"/>
        <w:numPr>
          <w:ilvl w:val="0"/>
          <w:numId w:val="1"/>
        </w:numPr>
        <w:ind w:left="0" w:hanging="142"/>
        <w:jc w:val="both"/>
        <w:rPr>
          <w:rFonts w:ascii="Garamond" w:hAnsi="Garamond"/>
        </w:rPr>
      </w:pPr>
      <w:r>
        <w:rPr>
          <w:rFonts w:ascii="Garamond" w:hAnsi="Garamond"/>
        </w:rPr>
        <w:t>che, pertanto, sono aperti i termini per la presentazione di candidature per la nomina del Presidente e la designazione di un componente nel Consiglio di Amministrazione della Società “Mostra d’Oltremare S.p.A.”;</w:t>
      </w:r>
    </w:p>
    <w:p>
      <w:pPr>
        <w:pStyle w:val="Normal"/>
        <w:numPr>
          <w:ilvl w:val="0"/>
          <w:numId w:val="1"/>
        </w:numPr>
        <w:ind w:left="0" w:hanging="142"/>
        <w:jc w:val="both"/>
        <w:rPr>
          <w:rFonts w:ascii="Garamond" w:hAnsi="Garamond"/>
        </w:rPr>
      </w:pPr>
      <w:r>
        <w:rPr>
          <w:rFonts w:ascii="Garamond" w:hAnsi="Garamond"/>
        </w:rPr>
        <w:t>che la Società “Mostra d’Oltremare S.p.A.”, ai sensi dell’art. 2 dello Statuto, persegue sinteticamente le seguenti finalità: “….</w:t>
      </w:r>
      <w:r>
        <w:rPr>
          <w:rFonts w:ascii="Garamond" w:hAnsi="Garamond"/>
          <w:i/>
        </w:rPr>
        <w:t>ha il compito di gestire e valorizzare il patrimonio già dell’Ente Autonomo Mostra d’Oltremare, nonché di organizzare attività fieristiche e promuovere manifestazioni culturali, turistiche, sportive, anche al fine dello sviluppo economico e della valorizzazione turistica della città di Napoli</w:t>
      </w:r>
      <w:r>
        <w:rPr>
          <w:rFonts w:ascii="Garamond" w:hAnsi="Garamond"/>
        </w:rPr>
        <w:t>”;</w:t>
      </w:r>
    </w:p>
    <w:p>
      <w:pPr>
        <w:pStyle w:val="Normal"/>
        <w:numPr>
          <w:ilvl w:val="0"/>
          <w:numId w:val="1"/>
        </w:numPr>
        <w:ind w:left="0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che l’art.17 dello Statuto prevede che </w:t>
      </w:r>
      <w:r>
        <w:rPr>
          <w:rFonts w:cs="Garamond" w:ascii="Garamond" w:hAnsi="Garamond"/>
          <w:lang w:val="ar-SA"/>
        </w:rPr>
        <w:t>“</w:t>
      </w:r>
      <w:r>
        <w:rPr>
          <w:rFonts w:cs="Garamond" w:ascii="Garamond" w:hAnsi="Garamond"/>
          <w:i/>
          <w:lang w:val="ar-SA"/>
        </w:rPr>
        <w:t>Il Consiglio di Amministrazione è composto, nel rispetto delle cd. “quote di genere”, da tre membri anche non soci</w:t>
      </w:r>
      <w:r>
        <w:rPr>
          <w:rFonts w:ascii="Garamond" w:hAnsi="Garamond"/>
          <w:i/>
          <w:lang w:val="ar-SA"/>
        </w:rPr>
        <w:t>,</w:t>
      </w:r>
      <w:r>
        <w:rPr>
          <w:rFonts w:cs="Garamond" w:ascii="Garamond" w:hAnsi="Garamond"/>
          <w:i/>
          <w:lang w:val="ar-SA"/>
        </w:rPr>
        <w:t xml:space="preserve"> che durano in carica tre esercizi e sono rieleggibili. I membri dell’Organo Amministrativo sono nominati nel modo che segue: a) ai sensi e per gli effetti degli artt. 2449 e seg. Cod. civ., il Presidente del Consiglio di Amministrazione è nominato e/o revocato direttamente dal Comune di Napoli;..... b) i restanti Consiglieri sono nominati dall’Assemblea tra i soggetti designati in numero di uno dal Comune di Napoli e, in numero di uno, dalla Regione Campania</w:t>
      </w:r>
      <w:r>
        <w:rPr>
          <w:rFonts w:cs="Garamond" w:ascii="Garamond" w:hAnsi="Garamond"/>
          <w:lang w:val="ar-SA"/>
        </w:rPr>
        <w:t>”;</w:t>
      </w:r>
    </w:p>
    <w:p>
      <w:pPr>
        <w:pStyle w:val="Normal"/>
        <w:numPr>
          <w:ilvl w:val="0"/>
          <w:numId w:val="1"/>
        </w:numPr>
        <w:ind w:left="0" w:hanging="142"/>
        <w:jc w:val="both"/>
        <w:rPr>
          <w:rFonts w:ascii="Garamond" w:hAnsi="Garamond"/>
        </w:rPr>
      </w:pPr>
      <w:r>
        <w:rPr>
          <w:rFonts w:ascii="Garamond" w:hAnsi="Garamond"/>
        </w:rPr>
        <w:t>che, ai sensi dell’art. 12 co. 1 lettera c) dello Statuto, l’Assemblea ordinaria delibera circa la determinazione degli emolumenti dei Sindaci, nei limiti di cui all’art. 11 co. 6 e 7 del D. Lgs. 175/2016.</w:t>
      </w:r>
    </w:p>
    <w:p>
      <w:pPr>
        <w:pStyle w:val="Normal"/>
        <w:jc w:val="both"/>
        <w:rPr>
          <w:rFonts w:ascii="Garamond" w:hAnsi="Garamond"/>
        </w:rPr>
      </w:pPr>
      <w:r>
        <w:rPr>
          <w:rFonts w:cs="Garamond" w:ascii="Garamond" w:hAnsi="Garamond"/>
          <w:b/>
          <w:lang w:val="ar-SA"/>
        </w:rPr>
        <w:t xml:space="preserve">Il Presidente e il componente 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>verranno scelti tra coloro che risultano in possesso dei seguenti requisiti previsti dall’art.3 del Regolamento: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  <w:b/>
          <w:b/>
        </w:rPr>
      </w:pPr>
      <w:r>
        <w:rPr>
          <w:rFonts w:ascii="Garamond" w:hAnsi="Garamond"/>
        </w:rPr>
        <w:t xml:space="preserve">1. I rappresentanti del Comune negli enti, nelle aziende, nelle società ancorché consortili e nelle istituzioni devono possedere una competenza tecnica, giuridica o amministrativa adeguata. 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ascii="Garamond" w:hAnsi="Garamond"/>
        </w:rPr>
        <w:t>2. A tal fine, i rappresentanti sono scelti considerando le qualità professionali e le competenze risultanti da esperienze professionali e/o da impegno sociale e civile.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ascii="Garamond" w:hAnsi="Garamond"/>
        </w:rPr>
        <w:t>3. Al fine di assicurare le condizioni di pari opportunità previste dall’art. 51 della Costituzione e dall’art.1 del D.Lgs. n. 198/2006, le nomine o le designazioni dei rappresentanti del Comune negli enti, nelle aziende, nelle società ancorché consortili e nelle istituzioni sono compiute in modo da garantire che ciascun genere sia rappresentato per almeno un terzo.</w:t>
      </w:r>
    </w:p>
    <w:p>
      <w:pPr>
        <w:pStyle w:val="Normal"/>
        <w:jc w:val="both"/>
        <w:rPr>
          <w:rFonts w:ascii="Garamond" w:hAnsi="Garamond"/>
        </w:rPr>
      </w:pPr>
      <w:r>
        <w:rPr>
          <w:rFonts w:cs="Garamond" w:ascii="Garamond" w:hAnsi="Garamond"/>
          <w:b/>
          <w:lang w:val="ar-SA"/>
        </w:rPr>
        <w:t xml:space="preserve">Il Presidente e il componente </w:t>
      </w:r>
      <w:r>
        <w:rPr>
          <w:rFonts w:ascii="Garamond" w:hAnsi="Garamond"/>
        </w:rPr>
        <w:t xml:space="preserve">devono essere a conoscenza e rispettare il </w:t>
      </w:r>
      <w:r>
        <w:rPr>
          <w:rFonts w:ascii="Garamond" w:hAnsi="Garamond"/>
          <w:color w:val="000000"/>
          <w:sz w:val="23"/>
        </w:rPr>
        <w:t xml:space="preserve">Codice di </w:t>
      </w:r>
      <w:r>
        <w:rPr>
          <w:rFonts w:ascii="Garamond" w:hAnsi="Garamond"/>
        </w:rPr>
        <w:t xml:space="preserve">Comportamento dei dipendenti del Comune di Napoli e la Social Media Policy, approvati con Delibera di Giunta Comunale n. 69 del 01/03/2024 e pubblicati sul sito web istituzionale </w:t>
      </w:r>
      <w:r>
        <w:rPr>
          <w:rFonts w:cs="Garamond" w:ascii="Garamond" w:hAnsi="Garamond"/>
        </w:rPr>
        <w:t>nella sezione Amministrazione Trasparente/Disposizioni Generali/Atti Generali.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cs="Garamond" w:ascii="Garamond" w:hAnsi="Garamond"/>
          <w:b/>
          <w:lang w:val="ar-SA"/>
        </w:rPr>
        <w:t xml:space="preserve">Il Presidente e il componente </w:t>
      </w:r>
      <w:r>
        <w:rPr>
          <w:rFonts w:ascii="Garamond" w:hAnsi="Garamond"/>
        </w:rPr>
        <w:t>non dovranno trovarsi nelle cause di incompatibilità e di esclusione previste dall’art. 4 del Regolamento: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ascii="Garamond" w:hAnsi="Garamond"/>
        </w:rPr>
        <w:t>1. Salvo le altre incompatibilità stabilite dalla normativa vigente, non può essere nominato o designato rappresentante del Comune presso enti, aziende, società ancorché consortili ed istituzioni: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ascii="Garamond" w:hAnsi="Garamond"/>
        </w:rPr>
        <w:t>a. chi è in stato di conflitto di interessi rispetto all’ente, azienda, società ancorché consortili o istituzione nel quale rappresenta il Comune;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ascii="Garamond" w:hAnsi="Garamond"/>
        </w:rPr>
        <w:t>b. chi è stato dichiarato fallito;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ascii="Garamond" w:hAnsi="Garamond"/>
        </w:rPr>
        <w:t>c. chi ha liti pendenti con il Comune di Napoli ovvero con l’ente, l’azienda, la società ancorché consortili, l’istituzione presso cui dovrebbe essere nominato;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ascii="Garamond" w:hAnsi="Garamond"/>
        </w:rPr>
        <w:t>d. chi è in una delle condizioni di incandidabilità, ineleggibilità, incompatibilità ed inconferibilità previste dalla legge;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ascii="Garamond" w:hAnsi="Garamond"/>
        </w:rPr>
        <w:t>e. i dipendenti, consulenti o incaricati del Comune di Napoli che operano in settori con compiti di controllo o indirizzo sulla attività dello specifico ente;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  <w:b/>
          <w:b/>
        </w:rPr>
      </w:pPr>
      <w:r>
        <w:rPr>
          <w:rFonts w:ascii="Garamond" w:hAnsi="Garamond"/>
        </w:rPr>
        <w:t>f. chi è stato nominato consecutivamente più di tre volte nello stesso organismo del Comune di Napoli;</w:t>
      </w:r>
      <w:r>
        <w:rPr>
          <w:rFonts w:ascii="Garamond" w:hAnsi="Garamond"/>
          <w:b/>
        </w:rPr>
        <w:t xml:space="preserve"> 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ascii="Garamond" w:hAnsi="Garamond"/>
        </w:rPr>
        <w:t>g. chi è stato oggetto di revoca della nomina o designazione del Comune per motivate ragioni comportamentali;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ascii="Garamond" w:hAnsi="Garamond"/>
        </w:rPr>
        <w:t>h. chi ricopre la carica di Consigliere Comunale, Assessore, Presidente e Consigliere di Municipalità nel Comune di Napoli;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ascii="Garamond" w:hAnsi="Garamond"/>
        </w:rPr>
        <w:t>i. chi è stato candidato all’ultima competizione elettorale al Consiglio Comunale di Napoli e non è stato eletto, alla Provincia di Napoli, alla Regione Campania ovvero al Parlamento e non è stato eletto;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</w:rPr>
      </w:pPr>
      <w:r>
        <w:rPr>
          <w:rFonts w:ascii="Garamond" w:hAnsi="Garamond"/>
        </w:rPr>
        <w:t>l. i magistrati ordinari, amministrativi o della Corte dei Conti in servizio;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m. chi si trovi in posizione di conflitto di interessi con il Comune di Napoli e/o l’Ente presso il quale dovrebbe essere nominato, salvo che l’interessato faccia venir meno il conflitto entro il termine prefissato dal Sindaco;</w:t>
      </w:r>
    </w:p>
    <w:p>
      <w:pPr>
        <w:pStyle w:val="Standard"/>
        <w:jc w:val="both"/>
        <w:rPr>
          <w:rFonts w:ascii="Garamond" w:hAnsi="Garamond"/>
          <w:b/>
          <w:b/>
          <w:bCs/>
        </w:rPr>
      </w:pPr>
      <w:r>
        <w:rPr>
          <w:rFonts w:ascii="Garamond" w:hAnsi="Garamond"/>
          <w:bCs/>
        </w:rPr>
        <w:t>n. colui il quale si trovi in una delle situazioni che determinerebbero ineleggibilità a Consigliere Comunale;</w:t>
      </w:r>
    </w:p>
    <w:p>
      <w:pPr>
        <w:pStyle w:val="Standard"/>
        <w:jc w:val="both"/>
        <w:rPr>
          <w:rFonts w:ascii="Garamond" w:hAnsi="Garamond"/>
          <w:b/>
          <w:b/>
          <w:bCs/>
        </w:rPr>
      </w:pPr>
      <w:r>
        <w:rPr>
          <w:rFonts w:ascii="Garamond" w:hAnsi="Garamond"/>
          <w:bCs/>
        </w:rPr>
        <w:t>o. colui il quale sia stato o sia sottoposto a misure di prevenzione o sicurezza o che sia sottoposto a misure cautelari personali;</w:t>
      </w:r>
    </w:p>
    <w:p>
      <w:pPr>
        <w:pStyle w:val="Standard"/>
        <w:jc w:val="both"/>
        <w:rPr>
          <w:rFonts w:ascii="Garamond" w:hAnsi="Garamond"/>
          <w:b/>
          <w:b/>
          <w:bCs/>
        </w:rPr>
      </w:pPr>
      <w:r>
        <w:rPr>
          <w:rFonts w:ascii="Garamond" w:hAnsi="Garamond"/>
          <w:bCs/>
        </w:rPr>
        <w:t>p. colui il quale sia stato revocato, per giusta causa, in precedenti incarichi dal Comune o da altro Ente pubblico;</w:t>
      </w:r>
    </w:p>
    <w:p>
      <w:pPr>
        <w:pStyle w:val="Standard"/>
        <w:jc w:val="both"/>
        <w:rPr>
          <w:rFonts w:ascii="Garamond" w:hAnsi="Garamond"/>
          <w:b/>
          <w:b/>
          <w:bCs/>
        </w:rPr>
      </w:pPr>
      <w:r>
        <w:rPr>
          <w:rFonts w:ascii="Garamond" w:hAnsi="Garamond"/>
          <w:bCs/>
        </w:rPr>
        <w:t>q. colui il quale sia stato o sia iscritto ad associazione segreta;</w:t>
      </w:r>
    </w:p>
    <w:p>
      <w:pPr>
        <w:pStyle w:val="Standard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r. colui il quale sia parente o affine entro il secondo grado, di Sindaco, Assessori o Consiglieri comunali di Napoli.</w:t>
      </w:r>
    </w:p>
    <w:p>
      <w:pPr>
        <w:pStyle w:val="NormalWeb"/>
        <w:spacing w:beforeAutospacing="0" w:before="0" w:afterAutospacing="0" w:after="0"/>
        <w:jc w:val="both"/>
        <w:rPr>
          <w:rFonts w:ascii="Garamond" w:hAnsi="Garamond"/>
          <w:b/>
          <w:b/>
        </w:rPr>
      </w:pPr>
      <w:r>
        <w:rPr>
          <w:rFonts w:ascii="Garamond" w:hAnsi="Garamond"/>
        </w:rPr>
        <w:t>2. Il sopravvenire di una delle cause di incompatibilità e di esclusione nel corso del mandato comporta la decadenza automatica dalla nomina o dalla designazione.</w:t>
      </w:r>
    </w:p>
    <w:p>
      <w:pPr>
        <w:pStyle w:val="Normal"/>
        <w:jc w:val="both"/>
        <w:rPr>
          <w:rFonts w:ascii="Garamond" w:hAnsi="Garamond"/>
          <w:b/>
          <w:b/>
        </w:rPr>
      </w:pPr>
      <w:r>
        <w:rPr>
          <w:rFonts w:ascii="Garamond" w:hAnsi="Garamond"/>
          <w:b/>
          <w:szCs w:val="26"/>
        </w:rPr>
        <w:t>Chiunque</w:t>
      </w:r>
      <w:r>
        <w:rPr>
          <w:rFonts w:ascii="Garamond" w:hAnsi="Garamond"/>
          <w:sz w:val="26"/>
          <w:szCs w:val="26"/>
        </w:rPr>
        <w:t xml:space="preserve"> sia interessato può </w:t>
      </w:r>
      <w:r>
        <w:rPr>
          <w:rFonts w:ascii="Garamond" w:hAnsi="Garamond"/>
          <w:szCs w:val="26"/>
        </w:rPr>
        <w:t>presentare la propria</w:t>
      </w:r>
      <w:r>
        <w:rPr>
          <w:rFonts w:ascii="Garamond" w:hAnsi="Garamond"/>
          <w:b/>
          <w:szCs w:val="26"/>
        </w:rPr>
        <w:t xml:space="preserve"> candidatura </w:t>
      </w:r>
      <w:r>
        <w:rPr>
          <w:rFonts w:ascii="Garamond" w:hAnsi="Garamond"/>
          <w:b/>
          <w:szCs w:val="26"/>
          <w:u w:val="single"/>
        </w:rPr>
        <w:t>esclusivamente</w:t>
      </w:r>
      <w:r>
        <w:rPr>
          <w:rFonts w:ascii="Garamond" w:hAnsi="Garamond"/>
          <w:b/>
          <w:szCs w:val="26"/>
        </w:rPr>
        <w:t xml:space="preserve"> a mezzo pec</w:t>
      </w:r>
      <w:r>
        <w:rPr>
          <w:rFonts w:ascii="Garamond" w:hAnsi="Garamond"/>
          <w:sz w:val="26"/>
          <w:szCs w:val="26"/>
        </w:rPr>
        <w:t xml:space="preserve"> all’indirizzo </w:t>
      </w:r>
      <w:r>
        <w:rPr>
          <w:rFonts w:ascii="Garamond" w:hAnsi="Garamond"/>
          <w:u w:val="single"/>
        </w:rPr>
        <w:t>nomine</w:t>
      </w:r>
      <w:hyperlink r:id="rId3">
        <w:r>
          <w:rPr>
            <w:rStyle w:val="CollegamentoInternet"/>
            <w:rFonts w:ascii="Garamond" w:hAnsi="Garamond"/>
            <w:color w:val="000000"/>
            <w:szCs w:val="28"/>
          </w:rPr>
          <w:t>@pec.comune.napoli.it</w:t>
        </w:r>
      </w:hyperlink>
      <w:r>
        <w:rPr>
          <w:rFonts w:ascii="Garamond" w:hAnsi="Garamond"/>
          <w:szCs w:val="26"/>
        </w:rPr>
        <w:t>,</w:t>
      </w:r>
      <w:r>
        <w:rPr>
          <w:rFonts w:ascii="Garamond" w:hAnsi="Garamond"/>
          <w:b/>
          <w:szCs w:val="26"/>
        </w:rPr>
        <w:t xml:space="preserve"> entro le ore 12:00:00 del 22 ottobre 2024, utilizzando unicamente, </w:t>
      </w:r>
      <w:r>
        <w:rPr>
          <w:rFonts w:ascii="Garamond" w:hAnsi="Garamond"/>
          <w:b/>
          <w:szCs w:val="26"/>
          <w:u w:val="single"/>
        </w:rPr>
        <w:t>a pena di esclusione</w:t>
      </w:r>
      <w:r>
        <w:rPr>
          <w:rFonts w:ascii="Garamond" w:hAnsi="Garamond"/>
          <w:b/>
          <w:szCs w:val="26"/>
        </w:rPr>
        <w:t xml:space="preserve">, i modelli disponibili sul sito istituzionale del Comune di Napoli </w:t>
      </w:r>
      <w:r>
        <w:rPr>
          <w:rFonts w:ascii="Garamond" w:hAnsi="Garamond"/>
          <w:szCs w:val="26"/>
        </w:rPr>
        <w:t xml:space="preserve">e riportando in oggetto la seguente dicitura: </w:t>
      </w:r>
      <w:r>
        <w:rPr>
          <w:rFonts w:ascii="Garamond" w:hAnsi="Garamond"/>
          <w:i/>
          <w:sz w:val="28"/>
          <w:szCs w:val="28"/>
        </w:rPr>
        <w:t>C</w:t>
      </w:r>
      <w:r>
        <w:rPr>
          <w:rFonts w:ascii="Garamond" w:hAnsi="Garamond"/>
          <w:i/>
          <w:szCs w:val="26"/>
        </w:rPr>
        <w:t>andidatura per la nomina del Presidente e la designazione di un componente nel CdA di Mostra d’Oltremare SpA”.</w:t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Standard"/>
        <w:jc w:val="both"/>
        <w:rPr/>
      </w:pPr>
      <w:r>
        <w:rPr>
          <w:rFonts w:ascii="Garamond" w:hAnsi="Garamond"/>
          <w:b/>
          <w:szCs w:val="26"/>
          <w:u w:val="single"/>
        </w:rPr>
        <w:t>La candidatura, così presentata, dovrà essere corredata da</w:t>
      </w:r>
      <w:r>
        <w:rPr>
          <w:rFonts w:ascii="Garamond" w:hAnsi="Garamond"/>
          <w:b/>
          <w:szCs w:val="26"/>
        </w:rPr>
        <w:t>:</w:t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0" w:leader="none"/>
        </w:tabs>
        <w:jc w:val="both"/>
        <w:textAlignment w:val="baseline"/>
        <w:rPr>
          <w:rFonts w:ascii="Garamond" w:hAnsi="Garamond"/>
          <w:b/>
          <w:b/>
          <w:szCs w:val="26"/>
        </w:rPr>
      </w:pPr>
      <w:r>
        <w:rPr>
          <w:rFonts w:ascii="Garamond" w:hAnsi="Garamond"/>
          <w:b/>
          <w:szCs w:val="26"/>
        </w:rPr>
        <w:t>curriculum vitae in formato europeo;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0" w:leader="none"/>
        </w:tabs>
        <w:jc w:val="both"/>
        <w:textAlignment w:val="baseline"/>
        <w:rPr>
          <w:rFonts w:ascii="Garamond" w:hAnsi="Garamond"/>
          <w:b/>
          <w:b/>
          <w:szCs w:val="26"/>
        </w:rPr>
      </w:pPr>
      <w:r>
        <w:rPr>
          <w:rFonts w:ascii="Garamond" w:hAnsi="Garamond"/>
          <w:b/>
          <w:szCs w:val="26"/>
        </w:rPr>
        <w:t>fotocopia documento identità;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0" w:leader="none"/>
        </w:tabs>
        <w:jc w:val="both"/>
        <w:textAlignment w:val="baseline"/>
        <w:rPr>
          <w:rFonts w:ascii="Garamond" w:hAnsi="Garamond"/>
          <w:b/>
          <w:b/>
          <w:szCs w:val="26"/>
        </w:rPr>
      </w:pPr>
      <w:r>
        <w:rPr>
          <w:rFonts w:ascii="Garamond" w:hAnsi="Garamond"/>
          <w:b/>
          <w:szCs w:val="26"/>
        </w:rPr>
        <w:t>dichiarazione sostitutiva di atto di notorietà di cui all’art. 4 del Regolamento.</w:t>
      </w:r>
    </w:p>
    <w:p>
      <w:pPr>
        <w:pStyle w:val="Standard"/>
        <w:jc w:val="both"/>
        <w:rPr>
          <w:rFonts w:ascii="Garamond" w:hAnsi="Garamond"/>
          <w:b/>
          <w:b/>
          <w:sz w:val="12"/>
          <w:szCs w:val="12"/>
        </w:rPr>
      </w:pPr>
      <w:r>
        <w:rPr>
          <w:rFonts w:ascii="Garamond" w:hAnsi="Garamond"/>
          <w:b/>
          <w:sz w:val="12"/>
          <w:szCs w:val="12"/>
        </w:rPr>
      </w:r>
    </w:p>
    <w:p>
      <w:pPr>
        <w:pStyle w:val="Standard"/>
        <w:tabs>
          <w:tab w:val="clear" w:pos="708"/>
          <w:tab w:val="left" w:pos="567" w:leader="none"/>
          <w:tab w:val="left" w:pos="3544" w:leader="none"/>
        </w:tabs>
        <w:jc w:val="both"/>
        <w:rPr>
          <w:rFonts w:ascii="Garamond" w:hAnsi="Garamond"/>
          <w:b/>
          <w:b/>
          <w:szCs w:val="28"/>
        </w:rPr>
      </w:pPr>
      <w:r>
        <w:rPr>
          <w:rFonts w:ascii="Garamond" w:hAnsi="Garamond"/>
          <w:b/>
          <w:szCs w:val="28"/>
        </w:rPr>
        <w:t>Dell’eventuale esclusione non verrà data alcuna comunicazione.</w:t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Standard"/>
        <w:jc w:val="both"/>
        <w:rPr>
          <w:rFonts w:ascii="Garamond" w:hAnsi="Garamond" w:cs="Times New Roman"/>
          <w:szCs w:val="26"/>
        </w:rPr>
      </w:pPr>
      <w:r>
        <w:rPr>
          <w:rFonts w:cs="Times New Roman" w:ascii="Garamond" w:hAnsi="Garamond"/>
          <w:szCs w:val="26"/>
        </w:rPr>
        <w:t>La presentazione della candidatura e del curriculum implica il consenso al trattamento dei dati personali ed eventualmente sensibili nel rispetto della normativa prevista dal Regolamento UE 2016/679 sulla Protezione dei Dati Personali (GDPR).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tabs>
          <w:tab w:val="clear" w:pos="708"/>
          <w:tab w:val="left" w:pos="3285" w:leader="none"/>
        </w:tabs>
        <w:rPr>
          <w:rFonts w:ascii="Garamond" w:hAnsi="Garamond"/>
        </w:rPr>
      </w:pPr>
      <w:r>
        <w:rPr>
          <w:rFonts w:ascii="Garamond" w:hAnsi="Garamond"/>
        </w:rPr>
        <w:t>Napoli, 2</w:t>
      </w:r>
      <w:r>
        <w:rPr>
          <w:rFonts w:ascii="Garamond" w:hAnsi="Garamond"/>
        </w:rPr>
        <w:t>3</w:t>
      </w:r>
      <w:r>
        <w:rPr>
          <w:rFonts w:ascii="Garamond" w:hAnsi="Garamond"/>
        </w:rPr>
        <w:t>/09/2024</w:t>
        <w:tab/>
        <w:tab/>
        <w:tab/>
        <w:tab/>
        <w:t xml:space="preserve"> </w:t>
        <w:tab/>
        <w:tab/>
        <w:tab/>
        <w:tab/>
        <w:t>Gaetano Manfredi</w:t>
      </w:r>
    </w:p>
    <w:sectPr>
      <w:type w:val="nextPage"/>
      <w:pgSz w:w="12240" w:h="15840"/>
      <w:pgMar w:left="1191" w:right="1134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aramond">
    <w:charset w:val="00"/>
    <w:family w:val="roman"/>
    <w:pitch w:val="variable"/>
  </w:font>
  <w:font w:name="Garamond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rFonts w:eastAsiaTheme="minorEastAsi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2a3d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basedOn w:val="DefaultParagraphFont"/>
    <w:uiPriority w:val="99"/>
    <w:unhideWhenUsed/>
    <w:rsid w:val="009c2a3d"/>
    <w:rPr>
      <w:rFonts w:cs="Times New Roman"/>
      <w:color w:val="0000FF" w:themeColor="hyperlink"/>
      <w:u w:val="single"/>
    </w:rPr>
  </w:style>
  <w:style w:type="character" w:styleId="Punti" w:customStyle="1">
    <w:name w:val="Punti"/>
    <w:qFormat/>
    <w:rsid w:val="00896885"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rsid w:val="00896885"/>
    <w:pPr>
      <w:spacing w:lineRule="auto" w:line="276" w:before="0" w:after="140"/>
    </w:pPr>
    <w:rPr/>
  </w:style>
  <w:style w:type="paragraph" w:styleId="Elenco">
    <w:name w:val="List"/>
    <w:basedOn w:val="Corpodeltesto"/>
    <w:rsid w:val="00896885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896885"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rsid w:val="00896885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Didascalia1" w:customStyle="1">
    <w:name w:val="Didascalia1"/>
    <w:basedOn w:val="Normal"/>
    <w:qFormat/>
    <w:rsid w:val="00896885"/>
    <w:pPr>
      <w:suppressLineNumbers/>
      <w:spacing w:before="120" w:after="120"/>
    </w:pPr>
    <w:rPr>
      <w:rFonts w:cs="Lucida Sans"/>
      <w:i/>
      <w:iCs/>
    </w:rPr>
  </w:style>
  <w:style w:type="paragraph" w:styleId="NormalWeb">
    <w:name w:val="Normal (Web)"/>
    <w:basedOn w:val="Normal"/>
    <w:uiPriority w:val="99"/>
    <w:unhideWhenUsed/>
    <w:qFormat/>
    <w:rsid w:val="009c2a3d"/>
    <w:pPr>
      <w:widowControl/>
      <w:spacing w:beforeAutospacing="1" w:afterAutospacing="1"/>
    </w:pPr>
    <w:rPr/>
  </w:style>
  <w:style w:type="paragraph" w:styleId="Standard" w:customStyle="1">
    <w:name w:val="Standard"/>
    <w:qFormat/>
    <w:rsid w:val="009c2a3d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" w:cs="DejaVu Sans" w:eastAsiaTheme="minorEastAsia"/>
      <w:color w:val="auto"/>
      <w:kern w:val="2"/>
      <w:sz w:val="24"/>
      <w:szCs w:val="24"/>
      <w:lang w:eastAsia="it-IT" w:val="it-IT" w:bidi="ar-SA"/>
    </w:rPr>
  </w:style>
  <w:style w:type="paragraph" w:styleId="Default" w:customStyle="1">
    <w:name w:val="Default"/>
    <w:qFormat/>
    <w:rsid w:val="00896885"/>
    <w:pPr>
      <w:widowControl/>
      <w:suppressAutoHyphens w:val="true"/>
      <w:bidi w:val="0"/>
      <w:spacing w:lineRule="auto" w:line="276" w:before="0" w:after="200"/>
      <w:jc w:val="left"/>
    </w:pPr>
    <w:rPr>
      <w:rFonts w:ascii="Garamond" w:hAnsi="Garamond" w:eastAsia="Calibri" w:cs=""/>
      <w:color w:val="000000"/>
      <w:kern w:val="0"/>
      <w:sz w:val="24"/>
      <w:szCs w:val="22"/>
      <w:lang w:val="it-IT" w:eastAsia="en-US" w:bidi="ar-SA"/>
    </w:rPr>
  </w:style>
  <w:style w:type="paragraph" w:styleId="Tabellanormale1" w:customStyle="1">
    <w:name w:val="Tabella normale1"/>
    <w:qFormat/>
    <w:rsid w:val="00896885"/>
    <w:pPr>
      <w:widowControl/>
      <w:suppressAutoHyphens w:val="true"/>
      <w:bidi w:val="0"/>
      <w:spacing w:lineRule="auto" w:line="276" w:before="0" w:after="20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2"/>
      <w:szCs w:val="22"/>
      <w:lang w:eastAsia="it-IT" w:val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avviso.pubblico.candidature@pec.comune.napoli.it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Application>LibreOffice/7.4.5.1$Windows_X86_64 LibreOffice_project/9c0871452b3918c1019dde9bfac75448afc4b57f</Application>
  <AppVersion>15.0000</AppVersion>
  <Pages>2</Pages>
  <Words>1104</Words>
  <Characters>6293</Characters>
  <CharactersWithSpaces>7351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2024-06-18T16:45:00Z</dcterms:created>
  <dc:creator>Luca</dc:creator>
  <dc:description/>
  <dc:language>it-IT</dc:language>
  <cp:lastModifiedBy/>
  <dcterms:modified xsi:type="dcterms:W3CDTF">2024-09-23T17:28:21Z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