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8C" w:rsidRDefault="00312C8C" w:rsidP="00583B61">
      <w:pPr>
        <w:pStyle w:val="Standard"/>
        <w:widowControl w:val="0"/>
        <w:spacing w:line="240" w:lineRule="auto"/>
        <w:ind w:right="5"/>
        <w:rPr>
          <w:rFonts w:cs="Calibri"/>
          <w:b/>
          <w:color w:val="000000"/>
        </w:rPr>
      </w:pPr>
    </w:p>
    <w:p w:rsidR="00312C8C" w:rsidRDefault="00C95772">
      <w:pPr>
        <w:pStyle w:val="p4"/>
        <w:spacing w:line="276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INFORMATIVA SUL TRATTAMENTO DEI DATI PERSONALI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Il Comune di Napoli La informa che, ai sensi degli articoli 13 e 14 del Regolamento UE n. 2016/679 (di seguito “GDPR 2016/679”), reca</w:t>
      </w:r>
      <w:r>
        <w:rPr>
          <w:rFonts w:cs="Calibri"/>
        </w:rPr>
        <w:t>nti disposizioni a tutela dei dati personali, i dati personali da Lei forniti formeranno oggetto di trattamento nel rispetto della normativa sopra richiamata e sono forniti per lo svolgimento delle proprie finalità istituzionali.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Il trattamento dei dati pe</w:t>
      </w:r>
      <w:r>
        <w:rPr>
          <w:rFonts w:cs="Calibri"/>
        </w:rPr>
        <w:t>rsonali è improntato ai principi di correttezza, liceità, tutela della riservatezza e dei diritti alla persona.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Le forniamo pertanto le seguenti informazioni: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IL "TITOLARE" DEL TRATTAMENTO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Il Titolare del trattamento dei dati personali è il Comune di </w:t>
      </w:r>
      <w:r>
        <w:rPr>
          <w:rFonts w:cs="Calibri"/>
        </w:rPr>
        <w:t>Napoli, nella persona del Sindaco, con sede in Palazzo San Giacomo, piazza Municipio, 80133 Napoli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IL “RESPONSABILE DELLA PROTEZIONE DEI DATI”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</w:rPr>
        <w:t>Il Responsabile della Protezione dei Dati Personali (RDP) per il Comune di Napoli è la Dott.ssa Marilina Maione l</w:t>
      </w:r>
      <w:r>
        <w:rPr>
          <w:rFonts w:cs="Calibri"/>
        </w:rPr>
        <w:t xml:space="preserve">a quale può essere contattata all'indirizzo mail: </w:t>
      </w:r>
      <w:hyperlink r:id="rId7" w:history="1">
        <w:r>
          <w:rPr>
            <w:rFonts w:cs="Calibri"/>
          </w:rPr>
          <w:t>marilina.maione@comune.napoli.it</w:t>
        </w:r>
      </w:hyperlink>
      <w:r>
        <w:rPr>
          <w:rFonts w:cs="Calibri"/>
        </w:rPr>
        <w:t>; all'indirizzo PEC: protocollo@pec.comune.napoli.it; al numero telefonico: 0817956844.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LA FONTE DA CUI HANNO ORIGINE</w:t>
      </w:r>
      <w:r>
        <w:rPr>
          <w:rFonts w:cs="Calibri"/>
          <w:b/>
          <w:bCs/>
        </w:rPr>
        <w:t xml:space="preserve"> I DATI PERSONALI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 dati personali oggetto dell'attività di trattamento sono stati ottenuti da: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 Dati inseriti nelle istanze presentate dall’interessato al Servizio (in particolare, nome, cognome, data di nascita, codice fiscale, indirizzo di residenza, </w:t>
      </w:r>
      <w:r>
        <w:rPr>
          <w:rFonts w:cs="Calibri"/>
        </w:rPr>
        <w:t>recapiti telefonici, requisiti morali, dati giudiziari);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lastRenderedPageBreak/>
        <w:t> Fonti accessibili al pubblico;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Banche dati detenute da altre pubbliche amministrazioni alle quali i soggetti autorizzati sono abilitati, tra cui quelle gestite dall'Ufficio del Registro, dall'Age</w:t>
      </w:r>
      <w:r>
        <w:rPr>
          <w:rFonts w:cs="Calibri"/>
        </w:rPr>
        <w:t>nzia Entrate, dall'Agenzia della Riscossione, dall'INPS;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Uffici giudiziari;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Da altre soggetti pubblici e/o privati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FINALITÀ E BASE GIURIDICA DEL TRATTAMENTO DEI DATI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Il trattamento dei dati personali, intendendo per trattamento quanto indicato all'art.</w:t>
      </w:r>
      <w:r>
        <w:rPr>
          <w:rFonts w:cs="Calibri"/>
        </w:rPr>
        <w:t xml:space="preserve"> 4, punto 2. del GDPR 2016/679, è curato dal personale del Comune di Napoli </w:t>
      </w:r>
      <w:r>
        <w:rPr>
          <w:rFonts w:cs="Calibri"/>
        </w:rPr>
        <w:t>ovvero dal personale delle ditte fornitrici di servizi, le quali dovranno essere nominati Responsabili esterni del trattamento.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 dati personali sono forniti in ottemperanza agli o</w:t>
      </w:r>
      <w:r>
        <w:rPr>
          <w:rFonts w:cs="Calibri"/>
        </w:rPr>
        <w:t>bblighi normativi derivanti dalle disposizioni dettate in materia di appalti e contratti pubblici, in materia di provvedimenti amministrativi e, in generale, nelle materie di competenza del Servizio Politiche di Inclusione e di Integrazione Sociale.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 dati</w:t>
      </w:r>
      <w:r>
        <w:rPr>
          <w:rFonts w:cs="Calibri"/>
        </w:rPr>
        <w:t xml:space="preserve"> personali forniti sono, pertanto, utilizzati al solo fine dell'espletamento delle procedure d'appalto, di stipulazione dei relativi contratti e, di rilascio di tutti i provvedimenti amministrativi di competenza del Servizio Politiche di Inclusione e di In</w:t>
      </w:r>
      <w:r>
        <w:rPr>
          <w:rFonts w:cs="Calibri"/>
        </w:rPr>
        <w:t>tegrazione Sociale e non sono comunicati a soggetti terzi, salvo che la comunicazione sia imposta da obblighi di legge ovvero sia necessaria per l'espletamento delle attività inerenti il rapporto instaurato.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Non è previsto il trasferimento dei dati al di f</w:t>
      </w:r>
      <w:r>
        <w:rPr>
          <w:rFonts w:cs="Calibri"/>
        </w:rPr>
        <w:t>uori dell'Unione Europea e né a organismi internazionali.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Il trattamento potrà riguardare anche dati sensibili e giudiziari.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Il trattamento dei dati forniti non contempla un processo decisionale automatizzato, compresa la profilazione, intesa come qualsias</w:t>
      </w:r>
      <w:r>
        <w:rPr>
          <w:rFonts w:cs="Calibri"/>
        </w:rPr>
        <w:t>i forma di trattamento automatizzato dei dati consistente nell'utilizzo di tali dati per valutare determinati aspetti personali relativi a una persona fisica, in particolare per prevedere aspetti riguardanti il rendimento professionale, la situazione econo</w:t>
      </w:r>
      <w:r>
        <w:rPr>
          <w:rFonts w:cs="Calibri"/>
        </w:rPr>
        <w:t>mica, la salute, le preferenze personali, gli interessi, l'affidabilità, il comportamento, l'ubicazione, e gli spostamenti di detta persona fisica.</w:t>
      </w:r>
    </w:p>
    <w:p w:rsidR="00583B61" w:rsidRDefault="00583B61">
      <w:pPr>
        <w:pStyle w:val="p4"/>
        <w:spacing w:line="276" w:lineRule="auto"/>
        <w:jc w:val="both"/>
        <w:rPr>
          <w:rFonts w:cs="Calibri"/>
          <w:b/>
          <w:bCs/>
        </w:rPr>
      </w:pP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NATURA DEL CONFERIMENTO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Per l'espletamento delle finalità riportate nel punto precedente il conferimento dei</w:t>
      </w:r>
      <w:r>
        <w:rPr>
          <w:rFonts w:cs="Calibri"/>
        </w:rPr>
        <w:t xml:space="preserve"> dati è obbligatorio e l’eventuale rifiuto a fornire tali dati potrebbe comportare la mancata o parziale prosecuzione del rapporto.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DESTINATARI O CATEGORIE DEI DESTINATARI DEI DATI PERSONALI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 suoi dati personali potranno essere comunicati a: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altri dipen</w:t>
      </w:r>
      <w:r>
        <w:rPr>
          <w:rFonts w:cs="Calibri"/>
        </w:rPr>
        <w:t>denti del Comune di Napoli, ai quali sono state fornite istruzioni specifiche, secondo quanto prescritto dall'art.32 comma 4 del “GDPR 2016/679”. Gli autorizzati hanno livelli differenziati di accesso, a seconda delle specifiche mansioni;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 Altri soggetti </w:t>
      </w:r>
      <w:r>
        <w:rPr>
          <w:rFonts w:cs="Calibri"/>
        </w:rPr>
        <w:t>pubblici (ATS, Questura, Prefettura, INPS, Agenzia delle Entrate, etc.) per finalità istituzionali (igiene, sanità pubblica, etc.);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Autorità Giudiziaria e/o Autorità di Pubblica Sicurezza, nei casi espressamente previsti dalla legge;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Responsabili ester</w:t>
      </w:r>
      <w:r>
        <w:rPr>
          <w:rFonts w:cs="Calibri"/>
        </w:rPr>
        <w:t>ni del trattamento;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 Soggetti istanti ai sensi della Legge n. 241/1990 e del D.Lgs 33/2013 e ss.mm.ii.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 dati personali, esclusivamente per quanto previsto dagli obblighi in tema di pubblicità legale e di trasparenza, e nel rispetto del principio di minim</w:t>
      </w:r>
      <w:r>
        <w:rPr>
          <w:rFonts w:cs="Calibri"/>
        </w:rPr>
        <w:t>izzazione dei dati stessi, potranno essere soggetti a diffusione.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MODALITÀ' DEL TRATTAMENTO E PERIODO DI CONSERVAZIONE DEI DATI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I dati personali sono trattati in formato cartaceo e/o con strumenti automatizzati, per il tempo necessario a conseguire gli </w:t>
      </w:r>
      <w:r>
        <w:rPr>
          <w:rFonts w:cs="Calibri"/>
        </w:rPr>
        <w:t>scopi per cui sono stati raccolti ed anche successivamente per finalità amministrative e/o per dare esecuzione ad obblighi derivanti da disposizioni di legge e nel rispetto degli specifici obblighi normativi sulla conservazione dei dati.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Specifiche misure </w:t>
      </w:r>
      <w:r>
        <w:rPr>
          <w:rFonts w:cs="Calibri"/>
        </w:rPr>
        <w:t>di sicurezza sono osservate per prevenire la perdita dei dati, usi illeciti o non corretti ed accessi non autorizzati, in conformità alle norme sulla conservazione della documentazione amministrativa.</w:t>
      </w:r>
    </w:p>
    <w:p w:rsidR="00583B61" w:rsidRDefault="00583B61">
      <w:pPr>
        <w:pStyle w:val="p4"/>
        <w:spacing w:line="276" w:lineRule="auto"/>
        <w:jc w:val="both"/>
        <w:rPr>
          <w:rFonts w:cs="Calibri"/>
          <w:b/>
          <w:bCs/>
        </w:rPr>
      </w:pP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bookmarkStart w:id="0" w:name="_GoBack"/>
      <w:bookmarkEnd w:id="0"/>
      <w:r>
        <w:rPr>
          <w:rFonts w:cs="Calibri"/>
          <w:b/>
          <w:bCs/>
        </w:rPr>
        <w:t>DIRITTI DEGLI INTERESSATI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Si comunica che, in qualsiasi</w:t>
      </w:r>
      <w:r>
        <w:rPr>
          <w:rFonts w:cs="Calibri"/>
        </w:rPr>
        <w:t xml:space="preserve"> momento, l’interessato può esercitare: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1. il diritto di chiedere al Titolare del trattamento di poter accedere ai propri dati personali, ex Art. 15 “GDPR 2016/679”;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2. il diritto di chiedere al Titolare del trattamento di poter rettificare i propri dati p</w:t>
      </w:r>
      <w:r>
        <w:rPr>
          <w:rFonts w:cs="Calibri"/>
        </w:rPr>
        <w:t>ersonali, ove quest’ultimo non contrasti con la normativa vigente sulla conservazione dei dati stessi, ex Art. 16 “GDPR 2016/679”;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3. il diritto di chiedere al Titolare del trattamento di poter cancellare i propri dati personali, ove quest’ultimo non contr</w:t>
      </w:r>
      <w:r>
        <w:rPr>
          <w:rFonts w:cs="Calibri"/>
        </w:rPr>
        <w:t>asti con la normativa vigente sulla conservazione dei dati stessi, ex Art. 17 “GDPR 2016/679”;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4. il diritto di chiedere al Titolare del trattamento di poter limitare il trattamento dei propri dati personali, ex Art. 18 “GDPR 2016/679”;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5. il diritto di op</w:t>
      </w:r>
      <w:r>
        <w:rPr>
          <w:rFonts w:cs="Calibri"/>
        </w:rPr>
        <w:t>porsi al trattamento, ex Art. 21 “GDPR 2016/679”.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I diritti suindicati, in base a quanto previsto dall’art. 2-undecies, comma 1 lett. f) del Codice in materia di protezione dei dati personali (Codice Privacy), non potranno essere esercitati qualora dal lor</w:t>
      </w:r>
      <w:r>
        <w:rPr>
          <w:rFonts w:cs="Calibri"/>
        </w:rPr>
        <w:t>o esercizio possa derivare un pregiudizio effettivo e concreto alla riservatezza dell'identità del dipendente che segnala ai sensi della legge 30 novembre 2017, n. 179, l'illecito di cui sia venuto a conoscenza in ragione del proprio ufficio, e negli altri</w:t>
      </w:r>
      <w:r>
        <w:rPr>
          <w:rFonts w:cs="Calibri"/>
        </w:rPr>
        <w:t xml:space="preserve"> casi previsti dalla legge.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Tutti i diritti sopra elencati potranno essere esercitati mediante richiesta da inoltrarsi al Titolare del trattamento, anche per il tramite del Responsabile della protezione dei dati, ai recapiti suindicati.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Le informazioni per</w:t>
      </w:r>
      <w:r>
        <w:rPr>
          <w:rFonts w:cs="Calibri"/>
        </w:rPr>
        <w:t xml:space="preserve"> l’esercizio dei diritti sono disponibili sul sito del Garante Privacy, all’indirizzo https://www.garanteprivacy.it/home/diritti/come-agire-per-tutelare-i-tuoi-dati-personali.</w:t>
      </w:r>
    </w:p>
    <w:p w:rsidR="00312C8C" w:rsidRDefault="00C95772">
      <w:pPr>
        <w:pStyle w:val="p4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DIRITTO DI RECLAMO</w:t>
      </w:r>
    </w:p>
    <w:p w:rsidR="00312C8C" w:rsidRDefault="00C95772">
      <w:pPr>
        <w:pStyle w:val="p4"/>
        <w:spacing w:line="276" w:lineRule="auto"/>
        <w:jc w:val="both"/>
        <w:rPr>
          <w:rFonts w:cs="Calibri"/>
        </w:rPr>
      </w:pPr>
      <w:r>
        <w:rPr>
          <w:rFonts w:cs="Calibri"/>
        </w:rPr>
        <w:t>Gli interessati che ritengono che il trattamento dei dati per</w:t>
      </w:r>
      <w:r>
        <w:rPr>
          <w:rFonts w:cs="Calibri"/>
        </w:rPr>
        <w:t>sonali a loro riferiti avvenga in violazione di quanto previsto dal “GDPR 2016/679” hanno il diritto di proporre reclamo al Garante della Privacy, come previsto dall'art. 77 del Regolamento stesso, o di adire le opportune sedi giudiziarie (art. 79 del “GDP</w:t>
      </w:r>
      <w:r>
        <w:rPr>
          <w:rFonts w:cs="Calibri"/>
        </w:rPr>
        <w:t>R 2016/679”).</w:t>
      </w:r>
    </w:p>
    <w:p w:rsidR="00312C8C" w:rsidRDefault="00C95772">
      <w:pPr>
        <w:pStyle w:val="Paragrafoelenco"/>
        <w:spacing w:after="0" w:line="240" w:lineRule="auto"/>
        <w:ind w:left="0"/>
        <w:jc w:val="both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>MODIFICHE</w:t>
      </w:r>
    </w:p>
    <w:p w:rsidR="00312C8C" w:rsidRDefault="00C95772">
      <w:pPr>
        <w:pStyle w:val="Standard"/>
        <w:spacing w:after="12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Il Titolare si riserva di aggiornare la presente informativa, anche in vista di future modifiche della normativa in materia di protezione dei dati personali.</w:t>
      </w:r>
    </w:p>
    <w:p w:rsidR="00312C8C" w:rsidRDefault="00312C8C">
      <w:pPr>
        <w:pStyle w:val="Standard"/>
        <w:spacing w:after="120" w:line="240" w:lineRule="auto"/>
        <w:jc w:val="both"/>
        <w:rPr>
          <w:rFonts w:ascii="Times New Roman" w:hAnsi="Times New Roman" w:cs="Calibri"/>
        </w:rPr>
      </w:pPr>
    </w:p>
    <w:p w:rsidR="00312C8C" w:rsidRDefault="00C95772">
      <w:pPr>
        <w:pStyle w:val="Standard"/>
        <w:spacing w:line="360" w:lineRule="auto"/>
        <w:jc w:val="both"/>
        <w:rPr>
          <w:rFonts w:ascii="Times New Roman" w:eastAsia="Times New Roman" w:hAnsi="Times New Roman" w:cs="Calibri"/>
          <w:color w:val="00000A"/>
          <w:lang w:eastAsia="it-IT"/>
        </w:rPr>
      </w:pPr>
      <w:r>
        <w:rPr>
          <w:rFonts w:ascii="Times New Roman" w:eastAsia="Times New Roman" w:hAnsi="Times New Roman" w:cs="Calibri"/>
          <w:color w:val="00000A"/>
          <w:lang w:eastAsia="it-IT"/>
        </w:rPr>
        <w:t>Data……………….</w:t>
      </w:r>
    </w:p>
    <w:tbl>
      <w:tblPr>
        <w:tblW w:w="9870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769"/>
      </w:tblGrid>
      <w:tr w:rsidR="00312C8C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8C" w:rsidRDefault="00C9577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hAnsi="Times New Roman" w:cs="Calibri"/>
                <w:color w:val="000000"/>
                <w:lang w:eastAsia="it-IT"/>
              </w:rPr>
              <w:t>Per la Stazione Appaltante</w:t>
            </w:r>
          </w:p>
          <w:p w:rsidR="00312C8C" w:rsidRDefault="00C9577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0"/>
                <w:lang w:eastAsia="it-IT"/>
              </w:rPr>
              <w:t xml:space="preserve">   Il dirigente</w:t>
            </w:r>
            <w:r>
              <w:rPr>
                <w:rFonts w:ascii="Times New Roman" w:hAnsi="Times New Roman" w:cs="Calibri"/>
                <w:i/>
                <w:iCs/>
              </w:rPr>
              <w:t xml:space="preserve">   </w:t>
            </w:r>
          </w:p>
          <w:p w:rsidR="00312C8C" w:rsidRDefault="00C9577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</w:rPr>
            </w:pPr>
            <w:r>
              <w:rPr>
                <w:rFonts w:ascii="Times New Roman" w:hAnsi="Times New Roman" w:cs="Calibri"/>
                <w:i/>
                <w:iCs/>
              </w:rPr>
              <w:t xml:space="preserve"> firmato digitalmente</w:t>
            </w:r>
          </w:p>
          <w:p w:rsidR="00312C8C" w:rsidRDefault="00312C8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lang w:eastAsia="it-IT"/>
              </w:rPr>
            </w:pPr>
          </w:p>
          <w:p w:rsidR="00312C8C" w:rsidRDefault="00312C8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lang w:eastAsia="it-IT"/>
              </w:rPr>
            </w:pPr>
          </w:p>
        </w:tc>
        <w:tc>
          <w:tcPr>
            <w:tcW w:w="4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C8C" w:rsidRDefault="00C9577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hAnsi="Times New Roman" w:cs="Calibri"/>
                <w:color w:val="000000"/>
                <w:lang w:eastAsia="it-IT"/>
              </w:rPr>
              <w:t>Per l'operatore economico</w:t>
            </w:r>
          </w:p>
          <w:p w:rsidR="00312C8C" w:rsidRDefault="00C9577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hAnsi="Times New Roman" w:cs="Calibri"/>
                <w:color w:val="000000"/>
                <w:lang w:eastAsia="it-IT"/>
              </w:rPr>
              <w:t>Il titolare/legale rappresentante</w:t>
            </w:r>
          </w:p>
          <w:p w:rsidR="00312C8C" w:rsidRDefault="00C9577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i/>
                <w:iCs/>
              </w:rPr>
            </w:pPr>
            <w:r>
              <w:rPr>
                <w:rFonts w:ascii="Times New Roman" w:hAnsi="Times New Roman" w:cs="Calibri"/>
                <w:i/>
                <w:iCs/>
              </w:rPr>
              <w:t xml:space="preserve"> firmato digitalmente</w:t>
            </w:r>
          </w:p>
        </w:tc>
      </w:tr>
    </w:tbl>
    <w:p w:rsidR="00312C8C" w:rsidRDefault="00312C8C">
      <w:pPr>
        <w:pStyle w:val="Standard"/>
        <w:rPr>
          <w:rFonts w:ascii="Times New Roman" w:hAnsi="Times New Roman"/>
        </w:rPr>
      </w:pPr>
    </w:p>
    <w:sectPr w:rsidR="00312C8C">
      <w:headerReference w:type="default" r:id="rId8"/>
      <w:footerReference w:type="default" r:id="rId9"/>
      <w:headerReference w:type="first" r:id="rId10"/>
      <w:pgSz w:w="11906" w:h="16838"/>
      <w:pgMar w:top="1392" w:right="1134" w:bottom="1134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72" w:rsidRDefault="00C95772">
      <w:r>
        <w:separator/>
      </w:r>
    </w:p>
  </w:endnote>
  <w:endnote w:type="continuationSeparator" w:id="0">
    <w:p w:rsidR="00C95772" w:rsidRDefault="00C9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D0" w:rsidRDefault="00C95772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72" w:rsidRDefault="00C95772">
      <w:r>
        <w:rPr>
          <w:color w:val="000000"/>
        </w:rPr>
        <w:separator/>
      </w:r>
    </w:p>
  </w:footnote>
  <w:footnote w:type="continuationSeparator" w:id="0">
    <w:p w:rsidR="00C95772" w:rsidRDefault="00C9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D0" w:rsidRDefault="00C95772">
    <w:pPr>
      <w:pStyle w:val="Intestazione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</w:p>
  <w:p w:rsidR="00DB6ED0" w:rsidRDefault="00C95772">
    <w:pPr>
      <w:pStyle w:val="Intestazione"/>
      <w:jc w:val="right"/>
      <w:rPr>
        <w:rFonts w:ascii="Arial" w:hAnsi="Arial" w:cs="Arial"/>
        <w:i/>
        <w:iCs/>
        <w:sz w:val="20"/>
        <w:szCs w:val="20"/>
      </w:rPr>
    </w:pPr>
  </w:p>
  <w:tbl>
    <w:tblPr>
      <w:tblW w:w="10037" w:type="dxa"/>
      <w:tblInd w:w="-4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76"/>
      <w:gridCol w:w="3260"/>
      <w:gridCol w:w="1418"/>
      <w:gridCol w:w="2483"/>
      <w:gridCol w:w="1600"/>
    </w:tblGrid>
    <w:tr w:rsidR="00DB6ED0">
      <w:tblPrEx>
        <w:tblCellMar>
          <w:top w:w="0" w:type="dxa"/>
          <w:bottom w:w="0" w:type="dxa"/>
        </w:tblCellMar>
      </w:tblPrEx>
      <w:trPr>
        <w:trHeight w:val="904"/>
      </w:trPr>
      <w:tc>
        <w:tcPr>
          <w:tcW w:w="1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</w:pPr>
        </w:p>
        <w:p w:rsidR="00DB6ED0" w:rsidRDefault="00C95772">
          <w:pPr>
            <w:pStyle w:val="Standard"/>
            <w:widowControl w:val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571680" cy="552600"/>
                <wp:effectExtent l="0" t="0" r="0" b="0"/>
                <wp:docPr id="1" name="Immagin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680" cy="5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326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141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24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160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</w:tr>
  </w:tbl>
  <w:p w:rsidR="00DB6ED0" w:rsidRDefault="00C957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D0" w:rsidRDefault="00C95772">
    <w:pPr>
      <w:pStyle w:val="Intestazione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Informativa Trattamento dati personali – Allegato 3)</w:t>
    </w:r>
  </w:p>
  <w:p w:rsidR="00DB6ED0" w:rsidRDefault="00C95772">
    <w:pPr>
      <w:pStyle w:val="Intestazione"/>
      <w:jc w:val="right"/>
      <w:rPr>
        <w:rFonts w:ascii="Arial" w:hAnsi="Arial" w:cs="Arial"/>
        <w:i/>
        <w:iCs/>
        <w:sz w:val="20"/>
        <w:szCs w:val="20"/>
      </w:rPr>
    </w:pPr>
  </w:p>
  <w:tbl>
    <w:tblPr>
      <w:tblW w:w="10207" w:type="dxa"/>
      <w:tblInd w:w="-4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4"/>
      <w:gridCol w:w="2794"/>
      <w:gridCol w:w="1559"/>
      <w:gridCol w:w="2411"/>
      <w:gridCol w:w="1559"/>
    </w:tblGrid>
    <w:tr w:rsidR="00DB6ED0">
      <w:tblPrEx>
        <w:tblCellMar>
          <w:top w:w="0" w:type="dxa"/>
          <w:bottom w:w="0" w:type="dxa"/>
        </w:tblCellMar>
      </w:tblPrEx>
      <w:trPr>
        <w:trHeight w:val="904"/>
      </w:trPr>
      <w:tc>
        <w:tcPr>
          <w:tcW w:w="188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</w:pPr>
        </w:p>
        <w:p w:rsidR="00DB6ED0" w:rsidRDefault="00C95772">
          <w:pPr>
            <w:pStyle w:val="Standard"/>
            <w:widowControl w:val="0"/>
            <w:ind w:left="34" w:hanging="34"/>
            <w:jc w:val="center"/>
          </w:pPr>
        </w:p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279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571680" cy="552600"/>
                <wp:effectExtent l="0" t="0" r="0" b="0"/>
                <wp:docPr id="2" name="Immagin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680" cy="5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B6ED0" w:rsidRDefault="00C95772">
          <w:pPr>
            <w:pStyle w:val="Standard"/>
            <w:widowControl w:val="0"/>
            <w:jc w:val="center"/>
          </w:pPr>
        </w:p>
      </w:tc>
    </w:tr>
  </w:tbl>
  <w:p w:rsidR="00583B61" w:rsidRPr="00583B61" w:rsidRDefault="00583B61" w:rsidP="00583B61">
    <w:pPr>
      <w:pStyle w:val="Standard"/>
      <w:spacing w:before="280"/>
      <w:jc w:val="both"/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</w:pPr>
    <w:r w:rsidRPr="00583B61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>MANIFESTAZIONE D’INTERESSE A PARTECIPARE ALL’AVVISO PUBBLICO NON COMPETITIVO RIVOLTO A ENTI DEL TERZO SETTORE PER L’INDIVIDUAZIONE DEI SOGGETTI CON CUI STIPULARE UNA CONVENZIONE PER LA REALIZZAZIONE DEL PROGETTO “REDDITO ALIMENTARE” PREVIA ATTIVITÀ DI CO-PROGETTAZIONE</w:t>
    </w:r>
  </w:p>
  <w:p w:rsidR="00583B61" w:rsidRPr="00583B61" w:rsidRDefault="00583B61" w:rsidP="00583B61">
    <w:pPr>
      <w:pStyle w:val="Standard"/>
      <w:spacing w:before="280"/>
      <w:jc w:val="both"/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</w:pPr>
  </w:p>
  <w:p w:rsidR="00DB6ED0" w:rsidRDefault="00C95772" w:rsidP="00583B61">
    <w:pPr>
      <w:pStyle w:val="Standard"/>
      <w:spacing w:before="280" w:after="0" w:line="240" w:lineRule="auto"/>
      <w:jc w:val="both"/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8F3"/>
    <w:multiLevelType w:val="multilevel"/>
    <w:tmpl w:val="8B804020"/>
    <w:styleLink w:val="WWNum3"/>
    <w:lvl w:ilvl="0">
      <w:numFmt w:val="bullet"/>
      <w:lvlText w:val="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D4E0BA5"/>
    <w:multiLevelType w:val="multilevel"/>
    <w:tmpl w:val="E5D85156"/>
    <w:styleLink w:val="WWNum1"/>
    <w:lvl w:ilvl="0">
      <w:numFmt w:val="bullet"/>
      <w:lvlText w:val="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8E273CC"/>
    <w:multiLevelType w:val="multilevel"/>
    <w:tmpl w:val="58786246"/>
    <w:styleLink w:val="WWNum5"/>
    <w:lvl w:ilvl="0">
      <w:numFmt w:val="bullet"/>
      <w:lvlText w:val="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D022919"/>
    <w:multiLevelType w:val="multilevel"/>
    <w:tmpl w:val="AC1673DE"/>
    <w:styleLink w:val="WWNum4"/>
    <w:lvl w:ilvl="0">
      <w:numFmt w:val="bullet"/>
      <w:lvlText w:val="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45905631"/>
    <w:multiLevelType w:val="multilevel"/>
    <w:tmpl w:val="D570A4A2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FC538AD"/>
    <w:multiLevelType w:val="multilevel"/>
    <w:tmpl w:val="EB50E970"/>
    <w:styleLink w:val="WWNum2"/>
    <w:lvl w:ilvl="0">
      <w:numFmt w:val="bullet"/>
      <w:lvlText w:val="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12C8C"/>
    <w:rsid w:val="00312C8C"/>
    <w:rsid w:val="00583B61"/>
    <w:rsid w:val="00C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CA1F"/>
  <w15:docId w15:val="{74B6BAFE-EBA8-4C40-916E-9C86D9C0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Corpodeltesto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Standard"/>
    <w:pPr>
      <w:tabs>
        <w:tab w:val="left" w:pos="3686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paragraph" w:customStyle="1" w:styleId="Default">
    <w:name w:val="Default"/>
    <w:pPr>
      <w:widowControl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p4">
    <w:name w:val="p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Corpodeltesto2Carattere">
    <w:name w:val="Corpo del testo 2 Carattere"/>
    <w:basedOn w:val="Carpredefinitoparagrafo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customStyle="1" w:styleId="t2">
    <w:name w:val="t2"/>
    <w:basedOn w:val="Carpredefinitoparagrafo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lina.maione@comune.napol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Napoli</dc:creator>
  <cp:lastModifiedBy>Doviana</cp:lastModifiedBy>
  <cp:revision>2</cp:revision>
  <cp:lastPrinted>2017-12-21T16:48:00Z</cp:lastPrinted>
  <dcterms:created xsi:type="dcterms:W3CDTF">2024-02-23T11:38:00Z</dcterms:created>
  <dcterms:modified xsi:type="dcterms:W3CDTF">2024-02-23T11:38:00Z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